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96" w:rsidRDefault="00AC1296" w:rsidP="00AC1296">
      <w:pPr>
        <w:pStyle w:val="NormalWeb"/>
        <w:tabs>
          <w:tab w:val="left" w:pos="3165"/>
        </w:tabs>
        <w:spacing w:before="0" w:beforeAutospacing="0" w:after="0" w:afterAutospacing="0" w:line="360" w:lineRule="auto"/>
        <w:jc w:val="center"/>
        <w:rPr>
          <w:rFonts w:ascii="Arial" w:hAnsi="Arial" w:cs="Arial"/>
          <w:b/>
          <w:sz w:val="32"/>
          <w:szCs w:val="32"/>
        </w:rPr>
      </w:pPr>
    </w:p>
    <w:p w:rsidR="00AC1296" w:rsidRDefault="00AC1296" w:rsidP="00AC1296">
      <w:pPr>
        <w:pStyle w:val="NormalWeb"/>
        <w:tabs>
          <w:tab w:val="left" w:pos="3165"/>
        </w:tabs>
        <w:spacing w:before="0" w:beforeAutospacing="0" w:after="0" w:afterAutospacing="0" w:line="360" w:lineRule="auto"/>
        <w:jc w:val="center"/>
        <w:rPr>
          <w:rFonts w:ascii="Arial" w:hAnsi="Arial" w:cs="Arial"/>
          <w:b/>
          <w:sz w:val="32"/>
          <w:szCs w:val="32"/>
        </w:rPr>
      </w:pPr>
    </w:p>
    <w:p w:rsidR="00AC1296" w:rsidRPr="004E412D" w:rsidRDefault="00AC1296" w:rsidP="00AC1296">
      <w:pPr>
        <w:pStyle w:val="NormalWeb"/>
        <w:tabs>
          <w:tab w:val="left" w:pos="3165"/>
        </w:tabs>
        <w:spacing w:before="0" w:beforeAutospacing="0" w:after="0" w:afterAutospacing="0" w:line="360" w:lineRule="auto"/>
        <w:jc w:val="center"/>
        <w:rPr>
          <w:rFonts w:ascii="Arial" w:hAnsi="Arial" w:cs="Arial"/>
          <w:b/>
          <w:sz w:val="32"/>
          <w:szCs w:val="32"/>
        </w:rPr>
      </w:pPr>
      <w:r>
        <w:rPr>
          <w:rFonts w:ascii="Arial" w:hAnsi="Arial" w:cs="Arial"/>
          <w:b/>
          <w:sz w:val="32"/>
          <w:szCs w:val="32"/>
        </w:rPr>
        <w:tab/>
        <w:t xml:space="preserve"> </w:t>
      </w:r>
      <w:r w:rsidRPr="004E412D">
        <w:rPr>
          <w:rFonts w:ascii="Arial" w:hAnsi="Arial" w:cs="Arial"/>
          <w:b/>
          <w:sz w:val="32"/>
          <w:szCs w:val="32"/>
        </w:rPr>
        <w:t xml:space="preserve">LEI </w:t>
      </w:r>
      <w:r>
        <w:rPr>
          <w:rFonts w:ascii="Arial" w:hAnsi="Arial" w:cs="Arial"/>
          <w:b/>
          <w:sz w:val="32"/>
          <w:szCs w:val="32"/>
        </w:rPr>
        <w:t xml:space="preserve">COMPLEMENTAR </w:t>
      </w:r>
      <w:r w:rsidRPr="004E412D">
        <w:rPr>
          <w:rFonts w:ascii="Arial" w:hAnsi="Arial" w:cs="Arial"/>
          <w:b/>
          <w:sz w:val="32"/>
          <w:szCs w:val="32"/>
        </w:rPr>
        <w:t xml:space="preserve">Nº </w:t>
      </w:r>
      <w:r>
        <w:rPr>
          <w:rFonts w:ascii="Arial" w:hAnsi="Arial" w:cs="Arial"/>
          <w:b/>
          <w:sz w:val="32"/>
          <w:szCs w:val="32"/>
        </w:rPr>
        <w:t>004/20</w:t>
      </w:r>
      <w:r>
        <w:rPr>
          <w:rFonts w:ascii="Arial" w:hAnsi="Arial" w:cs="Arial"/>
          <w:b/>
          <w:sz w:val="32"/>
          <w:szCs w:val="32"/>
        </w:rPr>
        <w:t>16</w:t>
      </w:r>
    </w:p>
    <w:p w:rsidR="00AC1296" w:rsidRPr="00F126FC" w:rsidRDefault="00AC1296" w:rsidP="00AC1296">
      <w:pPr>
        <w:ind w:firstLine="1701"/>
        <w:jc w:val="both"/>
        <w:rPr>
          <w:color w:val="000000"/>
          <w:w w:val="100"/>
          <w:sz w:val="24"/>
          <w:szCs w:val="24"/>
        </w:rPr>
      </w:pPr>
    </w:p>
    <w:p w:rsidR="00AC1296" w:rsidRPr="00E6322F" w:rsidRDefault="00AC1296" w:rsidP="00AC1296">
      <w:pPr>
        <w:ind w:left="3312"/>
        <w:jc w:val="both"/>
        <w:rPr>
          <w:b/>
          <w:color w:val="auto"/>
          <w:w w:val="100"/>
        </w:rPr>
      </w:pPr>
      <w:r>
        <w:rPr>
          <w:rFonts w:ascii="Helvetica-Bold" w:hAnsi="Helvetica-Bold" w:cs="Helvetica-Bold"/>
          <w:b/>
          <w:bCs/>
          <w:color w:val="auto"/>
          <w:w w:val="100"/>
        </w:rPr>
        <w:t>“</w:t>
      </w:r>
      <w:r>
        <w:rPr>
          <w:rFonts w:ascii="Helvetica-Bold" w:hAnsi="Helvetica-Bold" w:cs="Helvetica-Bold"/>
          <w:b/>
          <w:bCs/>
          <w:color w:val="auto"/>
          <w:w w:val="100"/>
        </w:rPr>
        <w:t>ALTERA A REDAÇÃO DA LEI MUNICIPAL Nº</w:t>
      </w:r>
      <w:proofErr w:type="gramStart"/>
      <w:r>
        <w:rPr>
          <w:rFonts w:ascii="Helvetica-Bold" w:hAnsi="Helvetica-Bold" w:cs="Helvetica-Bold"/>
          <w:b/>
          <w:bCs/>
          <w:color w:val="auto"/>
          <w:w w:val="100"/>
        </w:rPr>
        <w:t xml:space="preserve"> </w:t>
      </w:r>
      <w:r>
        <w:rPr>
          <w:rFonts w:ascii="Helvetica-Bold" w:hAnsi="Helvetica-Bold" w:cs="Helvetica-Bold"/>
          <w:b/>
          <w:bCs/>
          <w:color w:val="auto"/>
          <w:w w:val="100"/>
        </w:rPr>
        <w:t xml:space="preserve">  </w:t>
      </w:r>
      <w:proofErr w:type="gramEnd"/>
      <w:r>
        <w:rPr>
          <w:rFonts w:ascii="Helvetica-Bold" w:hAnsi="Helvetica-Bold" w:cs="Helvetica-Bold"/>
          <w:b/>
          <w:bCs/>
          <w:color w:val="auto"/>
          <w:w w:val="100"/>
        </w:rPr>
        <w:t>1720/2002, QUE INSTITUI A CIP – CONTRIBUIÇÃO PARA CUSTEIO DO SERVIÇO DE ILUMINAÇÃO PÚBLICA</w:t>
      </w:r>
      <w:r w:rsidRPr="00E6322F">
        <w:rPr>
          <w:rFonts w:ascii="Helvetica-Bold" w:hAnsi="Helvetica-Bold" w:cs="Helvetica-Bold"/>
          <w:b/>
          <w:bCs/>
          <w:color w:val="auto"/>
          <w:w w:val="100"/>
        </w:rPr>
        <w:t xml:space="preserve"> E, DÁ OUTRAS PROVIDÊNCIAS</w:t>
      </w:r>
      <w:r>
        <w:rPr>
          <w:rFonts w:ascii="Helvetica-Bold" w:hAnsi="Helvetica-Bold" w:cs="Helvetica-Bold"/>
          <w:b/>
          <w:bCs/>
          <w:color w:val="auto"/>
          <w:w w:val="100"/>
        </w:rPr>
        <w:t>”</w:t>
      </w:r>
      <w:r w:rsidRPr="00E6322F">
        <w:rPr>
          <w:b/>
          <w:color w:val="auto"/>
          <w:w w:val="100"/>
        </w:rPr>
        <w:t>.</w:t>
      </w:r>
    </w:p>
    <w:p w:rsidR="00AC1296" w:rsidRDefault="00AC1296" w:rsidP="00AC1296">
      <w:pPr>
        <w:ind w:left="3402"/>
        <w:jc w:val="both"/>
        <w:rPr>
          <w:sz w:val="24"/>
          <w:szCs w:val="24"/>
        </w:rPr>
      </w:pPr>
    </w:p>
    <w:p w:rsidR="00AC1296" w:rsidRPr="007B0399" w:rsidRDefault="00AC1296" w:rsidP="00AC1296">
      <w:pPr>
        <w:ind w:left="3402"/>
        <w:jc w:val="both"/>
        <w:rPr>
          <w:w w:val="100"/>
          <w:sz w:val="24"/>
          <w:szCs w:val="24"/>
        </w:rPr>
      </w:pPr>
    </w:p>
    <w:p w:rsidR="00AC1296" w:rsidRPr="0088489A" w:rsidRDefault="00AC1296" w:rsidP="00AC1296">
      <w:pPr>
        <w:spacing w:line="276" w:lineRule="auto"/>
        <w:ind w:firstLine="2268"/>
        <w:jc w:val="both"/>
        <w:rPr>
          <w:color w:val="auto"/>
          <w:w w:val="100"/>
          <w:sz w:val="22"/>
          <w:szCs w:val="22"/>
        </w:rPr>
      </w:pPr>
      <w:r w:rsidRPr="0088489A">
        <w:rPr>
          <w:color w:val="auto"/>
          <w:w w:val="100"/>
          <w:sz w:val="22"/>
          <w:szCs w:val="22"/>
        </w:rPr>
        <w:t>O Prefeito Municipal de Aimorés, Estado de Minas Gerais</w:t>
      </w:r>
      <w:r w:rsidRPr="0088489A">
        <w:rPr>
          <w:b/>
          <w:color w:val="auto"/>
          <w:w w:val="100"/>
          <w:sz w:val="22"/>
          <w:szCs w:val="22"/>
        </w:rPr>
        <w:t xml:space="preserve">, </w:t>
      </w:r>
      <w:r w:rsidRPr="0088489A">
        <w:rPr>
          <w:color w:val="auto"/>
          <w:w w:val="100"/>
          <w:sz w:val="22"/>
          <w:szCs w:val="22"/>
        </w:rPr>
        <w:t>no uso de suas atribuições legais, faz saber que a Câmara Municipal aprovou e ele sanciona e promulga a seguinte Lei:</w:t>
      </w:r>
    </w:p>
    <w:p w:rsidR="00AC1296" w:rsidRPr="0088489A" w:rsidRDefault="00AC1296" w:rsidP="00AC1296">
      <w:pPr>
        <w:spacing w:before="396" w:line="276" w:lineRule="auto"/>
        <w:ind w:firstLine="2232"/>
        <w:jc w:val="both"/>
        <w:rPr>
          <w:color w:val="auto"/>
          <w:w w:val="100"/>
          <w:sz w:val="22"/>
          <w:szCs w:val="22"/>
        </w:rPr>
      </w:pPr>
      <w:r w:rsidRPr="0088489A">
        <w:rPr>
          <w:b/>
          <w:bCs/>
          <w:color w:val="auto"/>
          <w:w w:val="100"/>
          <w:sz w:val="22"/>
          <w:szCs w:val="22"/>
        </w:rPr>
        <w:t xml:space="preserve">Art. 1º </w:t>
      </w:r>
      <w:r w:rsidRPr="0088489A">
        <w:rPr>
          <w:color w:val="auto"/>
          <w:w w:val="100"/>
          <w:sz w:val="22"/>
          <w:szCs w:val="22"/>
        </w:rPr>
        <w:t>Fica instituída, no Município de Aimorés, a contribuição para Custeio do Serviço de Iluminação Pública - COSIP, prevista no artigo 149-A da Constituição Federal.</w:t>
      </w:r>
    </w:p>
    <w:p w:rsidR="00AC1296" w:rsidRPr="0088489A" w:rsidRDefault="00AC1296" w:rsidP="00AC1296">
      <w:pPr>
        <w:spacing w:before="288" w:line="276" w:lineRule="auto"/>
        <w:ind w:firstLine="2232"/>
        <w:jc w:val="both"/>
        <w:rPr>
          <w:color w:val="auto"/>
          <w:w w:val="100"/>
          <w:sz w:val="22"/>
          <w:szCs w:val="22"/>
        </w:rPr>
      </w:pPr>
      <w:r w:rsidRPr="0088489A">
        <w:rPr>
          <w:b/>
          <w:bCs/>
          <w:color w:val="auto"/>
          <w:w w:val="100"/>
          <w:sz w:val="22"/>
          <w:szCs w:val="22"/>
        </w:rPr>
        <w:t xml:space="preserve">Parágrafo único. </w:t>
      </w:r>
      <w:r w:rsidRPr="0088489A">
        <w:rPr>
          <w:color w:val="auto"/>
          <w:w w:val="100"/>
          <w:sz w:val="22"/>
          <w:szCs w:val="22"/>
        </w:rPr>
        <w:t>O serviço previsto no caput deste artigo compreende a iluminação de vias, logradouros e demais bens públicos, e a instalação, manutenção, melhoramento e expansão da rede de iluminação pública e atividades correlatas necessárias.</w:t>
      </w:r>
    </w:p>
    <w:p w:rsidR="00AC1296" w:rsidRPr="0088489A" w:rsidRDefault="00AC1296" w:rsidP="00AC1296">
      <w:pPr>
        <w:spacing w:before="288" w:line="276" w:lineRule="auto"/>
        <w:ind w:firstLine="2232"/>
        <w:jc w:val="both"/>
        <w:rPr>
          <w:color w:val="auto"/>
          <w:w w:val="100"/>
          <w:sz w:val="22"/>
          <w:szCs w:val="22"/>
        </w:rPr>
      </w:pPr>
      <w:r w:rsidRPr="0088489A">
        <w:rPr>
          <w:b/>
          <w:bCs/>
          <w:color w:val="auto"/>
          <w:w w:val="100"/>
          <w:sz w:val="22"/>
          <w:szCs w:val="22"/>
        </w:rPr>
        <w:t xml:space="preserve">Art. 2º </w:t>
      </w:r>
      <w:r w:rsidRPr="0088489A">
        <w:rPr>
          <w:color w:val="auto"/>
          <w:w w:val="100"/>
          <w:sz w:val="22"/>
          <w:szCs w:val="22"/>
        </w:rPr>
        <w:t>O Fato gerador da Contribuição de Iluminação Pública de que trata a presente lei é o custeio do serviço de iluminação pública nas zonas urbanas, de expansão urbana, urbanizáveis e rurais.</w:t>
      </w:r>
    </w:p>
    <w:p w:rsidR="00AC1296" w:rsidRPr="0088489A" w:rsidRDefault="00AC1296" w:rsidP="00AC1296">
      <w:pPr>
        <w:spacing w:before="252" w:line="276" w:lineRule="auto"/>
        <w:ind w:firstLine="2232"/>
        <w:jc w:val="both"/>
        <w:rPr>
          <w:color w:val="auto"/>
          <w:w w:val="100"/>
          <w:sz w:val="22"/>
          <w:szCs w:val="22"/>
        </w:rPr>
      </w:pPr>
      <w:r w:rsidRPr="0088489A">
        <w:rPr>
          <w:b/>
          <w:bCs/>
          <w:color w:val="auto"/>
          <w:w w:val="100"/>
          <w:sz w:val="22"/>
          <w:szCs w:val="22"/>
        </w:rPr>
        <w:t xml:space="preserve">Art. 3º </w:t>
      </w:r>
      <w:r w:rsidRPr="0088489A">
        <w:rPr>
          <w:color w:val="auto"/>
          <w:w w:val="100"/>
          <w:sz w:val="22"/>
          <w:szCs w:val="22"/>
        </w:rPr>
        <w:t>O Sujeito passivo da Contribuição para Custeio do Serviço de Iluminação Pública é toda pessoa física ou jurídica, qualificada como contribuinte ou responsável, beneficiada pelo serviço de iluminação pública, que esteja cadastrado junto à concessionária distribuidora de energia elétrica titular da concessão no território do Município.</w:t>
      </w:r>
    </w:p>
    <w:p w:rsidR="00AC1296" w:rsidRPr="0088489A" w:rsidRDefault="00AC1296" w:rsidP="00AC1296">
      <w:pPr>
        <w:spacing w:before="288" w:line="276" w:lineRule="auto"/>
        <w:ind w:firstLine="2232"/>
        <w:jc w:val="both"/>
        <w:rPr>
          <w:color w:val="auto"/>
          <w:w w:val="100"/>
          <w:sz w:val="22"/>
          <w:szCs w:val="22"/>
        </w:rPr>
      </w:pPr>
      <w:r w:rsidRPr="0088489A">
        <w:rPr>
          <w:b/>
          <w:bCs/>
          <w:color w:val="auto"/>
          <w:w w:val="100"/>
          <w:sz w:val="22"/>
          <w:szCs w:val="22"/>
        </w:rPr>
        <w:t xml:space="preserve">§ 1º </w:t>
      </w:r>
      <w:r w:rsidRPr="0088489A">
        <w:rPr>
          <w:color w:val="auto"/>
          <w:w w:val="100"/>
          <w:sz w:val="22"/>
          <w:szCs w:val="22"/>
          <w:u w:val="single"/>
        </w:rPr>
        <w:t>Contribuinte</w:t>
      </w:r>
      <w:r w:rsidRPr="0088489A">
        <w:rPr>
          <w:color w:val="auto"/>
          <w:w w:val="100"/>
          <w:sz w:val="22"/>
          <w:szCs w:val="22"/>
        </w:rPr>
        <w:t xml:space="preserve"> da Contribuição para Custeio do Serviço de Iluminação Pública é o proprietário, o titular do domínio útil ou possuidor a qualquer título da unidade imobiliária autônoma, habitada ou não, edificada ou não, beneficiário direto ou indireto dos serviços de iluminação pública.</w:t>
      </w:r>
    </w:p>
    <w:p w:rsidR="00AC1296" w:rsidRPr="0088489A" w:rsidRDefault="00AC1296" w:rsidP="00AC1296">
      <w:pPr>
        <w:spacing w:before="288" w:line="276" w:lineRule="auto"/>
        <w:ind w:firstLine="2232"/>
        <w:jc w:val="both"/>
        <w:rPr>
          <w:color w:val="auto"/>
          <w:w w:val="100"/>
          <w:sz w:val="22"/>
          <w:szCs w:val="22"/>
        </w:rPr>
      </w:pPr>
      <w:r w:rsidRPr="0088489A">
        <w:rPr>
          <w:b/>
          <w:bCs/>
          <w:color w:val="auto"/>
          <w:w w:val="100"/>
          <w:sz w:val="22"/>
          <w:szCs w:val="22"/>
        </w:rPr>
        <w:t xml:space="preserve">§ 2º </w:t>
      </w:r>
      <w:r w:rsidRPr="0088489A">
        <w:rPr>
          <w:color w:val="auto"/>
          <w:w w:val="100"/>
          <w:sz w:val="22"/>
          <w:szCs w:val="22"/>
          <w:u w:val="single"/>
        </w:rPr>
        <w:t>Responsável</w:t>
      </w:r>
      <w:r w:rsidRPr="0088489A">
        <w:rPr>
          <w:color w:val="auto"/>
          <w:w w:val="100"/>
          <w:sz w:val="22"/>
          <w:szCs w:val="22"/>
        </w:rPr>
        <w:t xml:space="preserve"> pela Contribuição para Custeio do Serviço de Iluminação Pública é a pessoa física ou jurídica que, embora não seja o proprietário, o titular do domínio útil ou possuidor a qualquer título da unidade imobiliária autônoma, habitada ou não, edificada ou não, frui da utilidade do imóvel, direta ou indiretamente beneficiada pelo serviço de iluminação pública.</w:t>
      </w:r>
    </w:p>
    <w:p w:rsidR="00AC1296" w:rsidRDefault="00AC1296" w:rsidP="00AC1296">
      <w:pPr>
        <w:spacing w:before="252" w:line="276" w:lineRule="auto"/>
        <w:ind w:firstLine="2232"/>
        <w:jc w:val="both"/>
        <w:rPr>
          <w:color w:val="auto"/>
          <w:w w:val="100"/>
          <w:sz w:val="22"/>
          <w:szCs w:val="22"/>
        </w:rPr>
      </w:pPr>
      <w:r w:rsidRPr="0088489A">
        <w:rPr>
          <w:b/>
          <w:bCs/>
          <w:color w:val="auto"/>
          <w:w w:val="100"/>
          <w:sz w:val="22"/>
          <w:szCs w:val="22"/>
        </w:rPr>
        <w:t xml:space="preserve">Art. 4º </w:t>
      </w:r>
      <w:r w:rsidRPr="0088489A">
        <w:rPr>
          <w:color w:val="auto"/>
          <w:w w:val="100"/>
          <w:sz w:val="22"/>
          <w:szCs w:val="22"/>
        </w:rPr>
        <w:t>O valor da contribuição corresponderá aos valores estabelecidos n</w:t>
      </w:r>
      <w:r>
        <w:rPr>
          <w:color w:val="auto"/>
          <w:w w:val="100"/>
          <w:sz w:val="22"/>
          <w:szCs w:val="22"/>
        </w:rPr>
        <w:t>o</w:t>
      </w:r>
      <w:proofErr w:type="gramStart"/>
      <w:r>
        <w:rPr>
          <w:color w:val="auto"/>
          <w:w w:val="100"/>
          <w:sz w:val="22"/>
          <w:szCs w:val="22"/>
        </w:rPr>
        <w:t xml:space="preserve"> </w:t>
      </w:r>
      <w:r w:rsidRPr="0088489A">
        <w:rPr>
          <w:color w:val="auto"/>
          <w:w w:val="100"/>
          <w:sz w:val="22"/>
          <w:szCs w:val="22"/>
        </w:rPr>
        <w:t xml:space="preserve"> </w:t>
      </w:r>
      <w:proofErr w:type="gramEnd"/>
      <w:r>
        <w:rPr>
          <w:color w:val="auto"/>
          <w:w w:val="100"/>
          <w:sz w:val="22"/>
          <w:szCs w:val="22"/>
        </w:rPr>
        <w:t>ANEXO</w:t>
      </w:r>
      <w:r w:rsidRPr="0088489A">
        <w:rPr>
          <w:color w:val="auto"/>
          <w:w w:val="100"/>
          <w:sz w:val="22"/>
          <w:szCs w:val="22"/>
        </w:rPr>
        <w:t xml:space="preserve"> I,</w:t>
      </w:r>
      <w:r>
        <w:rPr>
          <w:color w:val="auto"/>
          <w:w w:val="100"/>
          <w:sz w:val="22"/>
          <w:szCs w:val="22"/>
        </w:rPr>
        <w:t xml:space="preserve"> </w:t>
      </w:r>
      <w:r w:rsidRPr="0088489A">
        <w:rPr>
          <w:color w:val="auto"/>
          <w:w w:val="100"/>
          <w:sz w:val="22"/>
          <w:szCs w:val="22"/>
        </w:rPr>
        <w:t xml:space="preserve"> em </w:t>
      </w:r>
      <w:r>
        <w:rPr>
          <w:color w:val="auto"/>
          <w:w w:val="100"/>
          <w:sz w:val="22"/>
          <w:szCs w:val="22"/>
        </w:rPr>
        <w:t xml:space="preserve"> </w:t>
      </w:r>
      <w:r w:rsidRPr="0088489A">
        <w:rPr>
          <w:color w:val="auto"/>
          <w:w w:val="100"/>
          <w:sz w:val="22"/>
          <w:szCs w:val="22"/>
        </w:rPr>
        <w:t xml:space="preserve">anexo </w:t>
      </w:r>
      <w:r>
        <w:rPr>
          <w:color w:val="auto"/>
          <w:w w:val="100"/>
          <w:sz w:val="22"/>
          <w:szCs w:val="22"/>
        </w:rPr>
        <w:t xml:space="preserve"> </w:t>
      </w:r>
      <w:r>
        <w:rPr>
          <w:color w:val="auto"/>
          <w:w w:val="100"/>
          <w:sz w:val="22"/>
          <w:szCs w:val="22"/>
        </w:rPr>
        <w:t>a</w:t>
      </w:r>
      <w:r>
        <w:rPr>
          <w:color w:val="auto"/>
          <w:w w:val="100"/>
          <w:sz w:val="22"/>
          <w:szCs w:val="22"/>
        </w:rPr>
        <w:t xml:space="preserve"> </w:t>
      </w:r>
      <w:r w:rsidRPr="0088489A">
        <w:rPr>
          <w:color w:val="auto"/>
          <w:w w:val="100"/>
          <w:sz w:val="22"/>
          <w:szCs w:val="22"/>
        </w:rPr>
        <w:t xml:space="preserve"> presente lei,</w:t>
      </w:r>
      <w:r>
        <w:rPr>
          <w:color w:val="auto"/>
          <w:w w:val="100"/>
          <w:sz w:val="22"/>
          <w:szCs w:val="22"/>
        </w:rPr>
        <w:t xml:space="preserve"> </w:t>
      </w:r>
      <w:r w:rsidRPr="0088489A">
        <w:rPr>
          <w:color w:val="auto"/>
          <w:w w:val="100"/>
          <w:sz w:val="22"/>
          <w:szCs w:val="22"/>
        </w:rPr>
        <w:t xml:space="preserve"> sendo que a determinação de </w:t>
      </w:r>
    </w:p>
    <w:p w:rsidR="00AC1296" w:rsidRDefault="00AC1296" w:rsidP="00AC1296">
      <w:pPr>
        <w:spacing w:before="252" w:line="276" w:lineRule="auto"/>
        <w:jc w:val="both"/>
        <w:rPr>
          <w:color w:val="auto"/>
          <w:w w:val="100"/>
          <w:sz w:val="22"/>
          <w:szCs w:val="22"/>
        </w:rPr>
      </w:pPr>
    </w:p>
    <w:p w:rsidR="00AC1296" w:rsidRDefault="00AC1296" w:rsidP="00AC1296">
      <w:pPr>
        <w:spacing w:before="252" w:line="276" w:lineRule="auto"/>
        <w:jc w:val="both"/>
        <w:rPr>
          <w:color w:val="auto"/>
          <w:w w:val="100"/>
          <w:sz w:val="22"/>
          <w:szCs w:val="22"/>
        </w:rPr>
      </w:pPr>
    </w:p>
    <w:p w:rsidR="00AC1296" w:rsidRPr="0088489A" w:rsidRDefault="00AC1296" w:rsidP="00AC1296">
      <w:pPr>
        <w:spacing w:before="252" w:line="276" w:lineRule="auto"/>
        <w:jc w:val="both"/>
        <w:rPr>
          <w:color w:val="auto"/>
          <w:w w:val="100"/>
          <w:sz w:val="22"/>
          <w:szCs w:val="22"/>
        </w:rPr>
      </w:pPr>
      <w:proofErr w:type="gramStart"/>
      <w:r w:rsidRPr="0088489A">
        <w:rPr>
          <w:color w:val="auto"/>
          <w:w w:val="100"/>
          <w:sz w:val="22"/>
          <w:szCs w:val="22"/>
        </w:rPr>
        <w:t>classe</w:t>
      </w:r>
      <w:proofErr w:type="gramEnd"/>
      <w:r w:rsidRPr="0088489A">
        <w:rPr>
          <w:color w:val="auto"/>
          <w:w w:val="100"/>
          <w:sz w:val="22"/>
          <w:szCs w:val="22"/>
        </w:rPr>
        <w:t xml:space="preserve"> de consumidor observará as normas da Agência Nacional de Energia Elétrica – ANEEL, ou outro órgão regulador que vier a substituí-la, tendo como base a Tabela de </w:t>
      </w:r>
      <w:r w:rsidRPr="0088489A">
        <w:rPr>
          <w:b/>
          <w:color w:val="auto"/>
          <w:w w:val="100"/>
          <w:sz w:val="22"/>
          <w:szCs w:val="22"/>
        </w:rPr>
        <w:t>TARIFA B4a</w:t>
      </w:r>
      <w:r w:rsidRPr="0088489A">
        <w:rPr>
          <w:color w:val="auto"/>
          <w:w w:val="100"/>
          <w:sz w:val="22"/>
          <w:szCs w:val="22"/>
        </w:rPr>
        <w:t xml:space="preserve"> e, será incluído no montante total da fatura mensal de energia elétrica emitida pela concessionária de energia.</w:t>
      </w:r>
    </w:p>
    <w:p w:rsidR="00AC1296" w:rsidRPr="0088489A" w:rsidRDefault="00AC1296" w:rsidP="00AC1296">
      <w:pPr>
        <w:spacing w:line="276" w:lineRule="auto"/>
        <w:ind w:firstLine="2232"/>
        <w:jc w:val="both"/>
        <w:rPr>
          <w:b/>
          <w:bCs/>
          <w:color w:val="auto"/>
          <w:w w:val="100"/>
          <w:sz w:val="22"/>
          <w:szCs w:val="22"/>
          <w:highlight w:val="yellow"/>
        </w:rPr>
      </w:pPr>
    </w:p>
    <w:p w:rsidR="00AC1296" w:rsidRPr="0088489A" w:rsidRDefault="00AC1296" w:rsidP="00AC1296">
      <w:pPr>
        <w:spacing w:line="276" w:lineRule="auto"/>
        <w:ind w:firstLine="2232"/>
        <w:jc w:val="both"/>
        <w:rPr>
          <w:color w:val="auto"/>
          <w:w w:val="100"/>
          <w:sz w:val="22"/>
          <w:szCs w:val="22"/>
        </w:rPr>
      </w:pPr>
      <w:r w:rsidRPr="0088489A">
        <w:rPr>
          <w:b/>
          <w:bCs/>
          <w:color w:val="auto"/>
          <w:w w:val="100"/>
          <w:sz w:val="22"/>
          <w:szCs w:val="22"/>
        </w:rPr>
        <w:t xml:space="preserve">§ 1º </w:t>
      </w:r>
      <w:r w:rsidRPr="0088489A">
        <w:rPr>
          <w:color w:val="auto"/>
          <w:w w:val="100"/>
          <w:sz w:val="22"/>
          <w:szCs w:val="22"/>
        </w:rPr>
        <w:t xml:space="preserve">As unidades urbanas territoriais não edificadas terão como base de cálculo para cálculo da COSIP, a metragem da testada, conforme </w:t>
      </w:r>
      <w:r>
        <w:rPr>
          <w:color w:val="auto"/>
          <w:w w:val="100"/>
          <w:sz w:val="22"/>
          <w:szCs w:val="22"/>
        </w:rPr>
        <w:t>ANEXO</w:t>
      </w:r>
      <w:r w:rsidRPr="0088489A">
        <w:rPr>
          <w:color w:val="auto"/>
          <w:w w:val="100"/>
          <w:sz w:val="22"/>
          <w:szCs w:val="22"/>
        </w:rPr>
        <w:t xml:space="preserve"> II, em anexo a presente lei.</w:t>
      </w:r>
    </w:p>
    <w:p w:rsidR="00AC1296" w:rsidRPr="0088489A" w:rsidRDefault="00AC1296" w:rsidP="00AC1296">
      <w:pPr>
        <w:spacing w:before="288" w:line="276" w:lineRule="auto"/>
        <w:ind w:firstLine="2232"/>
        <w:jc w:val="both"/>
        <w:rPr>
          <w:color w:val="auto"/>
          <w:w w:val="100"/>
          <w:sz w:val="22"/>
          <w:szCs w:val="22"/>
        </w:rPr>
      </w:pPr>
      <w:r w:rsidRPr="007A520A">
        <w:rPr>
          <w:b/>
          <w:bCs/>
          <w:color w:val="auto"/>
          <w:w w:val="100"/>
          <w:sz w:val="22"/>
          <w:szCs w:val="22"/>
        </w:rPr>
        <w:t>§ 2º</w:t>
      </w:r>
      <w:r w:rsidRPr="0088489A">
        <w:rPr>
          <w:bCs/>
          <w:color w:val="auto"/>
          <w:w w:val="100"/>
          <w:sz w:val="22"/>
          <w:szCs w:val="22"/>
        </w:rPr>
        <w:t xml:space="preserve"> </w:t>
      </w:r>
      <w:r w:rsidRPr="0088489A">
        <w:rPr>
          <w:color w:val="auto"/>
          <w:w w:val="100"/>
          <w:sz w:val="22"/>
          <w:szCs w:val="22"/>
        </w:rPr>
        <w:t>O valor da COSIP para as unidades urbanas previstas no parágrafo anterior, deverá estar prevista no carnê do IPTU, podendo ser pago em cota única ou diluídos em parcelas.</w:t>
      </w:r>
    </w:p>
    <w:p w:rsidR="00AC1296" w:rsidRPr="0088489A" w:rsidRDefault="00AC1296" w:rsidP="00AC1296">
      <w:pPr>
        <w:spacing w:line="276" w:lineRule="auto"/>
        <w:ind w:firstLine="2232"/>
        <w:jc w:val="both"/>
        <w:rPr>
          <w:b/>
          <w:bCs/>
          <w:color w:val="auto"/>
          <w:w w:val="100"/>
          <w:sz w:val="22"/>
          <w:szCs w:val="22"/>
        </w:rPr>
      </w:pPr>
    </w:p>
    <w:p w:rsidR="00AC1296" w:rsidRPr="0088489A" w:rsidRDefault="00AC1296" w:rsidP="00AC1296">
      <w:pPr>
        <w:spacing w:line="276" w:lineRule="auto"/>
        <w:ind w:firstLine="2232"/>
        <w:jc w:val="both"/>
        <w:rPr>
          <w:color w:val="auto"/>
          <w:w w:val="100"/>
          <w:sz w:val="22"/>
          <w:szCs w:val="22"/>
        </w:rPr>
      </w:pPr>
      <w:r w:rsidRPr="0088489A">
        <w:rPr>
          <w:b/>
          <w:bCs/>
          <w:color w:val="auto"/>
          <w:w w:val="100"/>
          <w:sz w:val="22"/>
          <w:szCs w:val="22"/>
        </w:rPr>
        <w:t>§3º</w:t>
      </w:r>
      <w:r>
        <w:rPr>
          <w:b/>
          <w:bCs/>
          <w:color w:val="auto"/>
          <w:w w:val="100"/>
          <w:sz w:val="22"/>
          <w:szCs w:val="22"/>
        </w:rPr>
        <w:t xml:space="preserve"> </w:t>
      </w:r>
      <w:r w:rsidRPr="0088489A">
        <w:rPr>
          <w:color w:val="auto"/>
          <w:w w:val="100"/>
          <w:sz w:val="22"/>
          <w:szCs w:val="22"/>
        </w:rPr>
        <w:t>Ficam isentos da contribuição para o custeio do serviço de iluminação publica:</w:t>
      </w:r>
    </w:p>
    <w:p w:rsidR="00AC1296" w:rsidRPr="0088489A" w:rsidRDefault="00AC1296" w:rsidP="00AC1296">
      <w:pPr>
        <w:spacing w:line="276" w:lineRule="auto"/>
        <w:jc w:val="both"/>
        <w:rPr>
          <w:color w:val="auto"/>
          <w:w w:val="100"/>
          <w:sz w:val="22"/>
          <w:szCs w:val="22"/>
        </w:rPr>
      </w:pPr>
    </w:p>
    <w:p w:rsidR="00AC1296" w:rsidRPr="0088489A" w:rsidRDefault="00AC1296" w:rsidP="00AC1296">
      <w:pPr>
        <w:pStyle w:val="PargrafodaLista"/>
        <w:numPr>
          <w:ilvl w:val="0"/>
          <w:numId w:val="2"/>
        </w:numPr>
        <w:jc w:val="both"/>
        <w:rPr>
          <w:rFonts w:ascii="Arial" w:hAnsi="Arial" w:cs="Arial"/>
        </w:rPr>
      </w:pPr>
      <w:proofErr w:type="gramStart"/>
      <w:r w:rsidRPr="0088489A">
        <w:rPr>
          <w:rFonts w:ascii="Arial" w:hAnsi="Arial" w:cs="Arial"/>
        </w:rPr>
        <w:t>o</w:t>
      </w:r>
      <w:proofErr w:type="gramEnd"/>
      <w:r w:rsidRPr="0088489A">
        <w:rPr>
          <w:rFonts w:ascii="Arial" w:hAnsi="Arial" w:cs="Arial"/>
        </w:rPr>
        <w:t xml:space="preserve"> poder público municipal, a administração direta e, demais órgãos da administração indireta municipal;</w:t>
      </w:r>
    </w:p>
    <w:p w:rsidR="00AC1296" w:rsidRPr="0088489A" w:rsidRDefault="00AC1296" w:rsidP="00AC1296">
      <w:pPr>
        <w:pStyle w:val="PargrafodaLista"/>
        <w:numPr>
          <w:ilvl w:val="0"/>
          <w:numId w:val="2"/>
        </w:numPr>
        <w:jc w:val="both"/>
        <w:rPr>
          <w:rFonts w:ascii="Arial" w:hAnsi="Arial" w:cs="Arial"/>
        </w:rPr>
      </w:pPr>
      <w:proofErr w:type="gramStart"/>
      <w:r w:rsidRPr="0088489A">
        <w:rPr>
          <w:rFonts w:ascii="Arial" w:hAnsi="Arial" w:cs="Arial"/>
        </w:rPr>
        <w:t>as</w:t>
      </w:r>
      <w:proofErr w:type="gramEnd"/>
      <w:r w:rsidRPr="0088489A">
        <w:rPr>
          <w:rFonts w:ascii="Arial" w:hAnsi="Arial" w:cs="Arial"/>
        </w:rPr>
        <w:t xml:space="preserve"> entidades sociais inscritas no Conselho Municipal de Assistência Social;</w:t>
      </w:r>
    </w:p>
    <w:p w:rsidR="00AC1296" w:rsidRPr="0088489A" w:rsidRDefault="00AC1296" w:rsidP="00AC1296">
      <w:pPr>
        <w:pStyle w:val="PargrafodaLista"/>
        <w:numPr>
          <w:ilvl w:val="0"/>
          <w:numId w:val="2"/>
        </w:numPr>
        <w:jc w:val="both"/>
        <w:rPr>
          <w:rFonts w:ascii="Arial" w:hAnsi="Arial" w:cs="Arial"/>
        </w:rPr>
      </w:pPr>
      <w:proofErr w:type="gramStart"/>
      <w:r w:rsidRPr="0088489A">
        <w:rPr>
          <w:rFonts w:ascii="Arial" w:hAnsi="Arial" w:cs="Arial"/>
        </w:rPr>
        <w:t>os</w:t>
      </w:r>
      <w:proofErr w:type="gramEnd"/>
      <w:r w:rsidRPr="0088489A">
        <w:rPr>
          <w:rFonts w:ascii="Arial" w:hAnsi="Arial" w:cs="Arial"/>
        </w:rPr>
        <w:t xml:space="preserve"> consumidores das zonas urbanas, de expansão urbana e urbanizáveis, cujo consumo seja menor ou igual a 30 </w:t>
      </w:r>
      <w:proofErr w:type="spellStart"/>
      <w:r w:rsidRPr="0088489A">
        <w:rPr>
          <w:rFonts w:ascii="Arial" w:hAnsi="Arial" w:cs="Arial"/>
        </w:rPr>
        <w:t>kw</w:t>
      </w:r>
      <w:proofErr w:type="spellEnd"/>
      <w:r w:rsidRPr="0088489A">
        <w:rPr>
          <w:rFonts w:ascii="Arial" w:hAnsi="Arial" w:cs="Arial"/>
        </w:rPr>
        <w:t>/h;</w:t>
      </w:r>
    </w:p>
    <w:p w:rsidR="00AC1296" w:rsidRPr="0088489A" w:rsidRDefault="00AC1296" w:rsidP="00AC1296">
      <w:pPr>
        <w:pStyle w:val="PargrafodaLista"/>
        <w:numPr>
          <w:ilvl w:val="0"/>
          <w:numId w:val="2"/>
        </w:numPr>
        <w:jc w:val="both"/>
        <w:rPr>
          <w:rFonts w:ascii="Arial" w:hAnsi="Arial" w:cs="Arial"/>
        </w:rPr>
      </w:pPr>
      <w:proofErr w:type="gramStart"/>
      <w:r w:rsidRPr="0088489A">
        <w:rPr>
          <w:rFonts w:ascii="Arial" w:hAnsi="Arial" w:cs="Arial"/>
        </w:rPr>
        <w:t>os</w:t>
      </w:r>
      <w:proofErr w:type="gramEnd"/>
      <w:r w:rsidRPr="0088489A">
        <w:rPr>
          <w:rFonts w:ascii="Arial" w:hAnsi="Arial" w:cs="Arial"/>
        </w:rPr>
        <w:t xml:space="preserve"> consumidores rurais , cujo consumo seja menor ou igual a 50 </w:t>
      </w:r>
      <w:proofErr w:type="spellStart"/>
      <w:r w:rsidRPr="0088489A">
        <w:rPr>
          <w:rFonts w:ascii="Arial" w:hAnsi="Arial" w:cs="Arial"/>
        </w:rPr>
        <w:t>kw</w:t>
      </w:r>
      <w:proofErr w:type="spellEnd"/>
      <w:r w:rsidRPr="0088489A">
        <w:rPr>
          <w:rFonts w:ascii="Arial" w:hAnsi="Arial" w:cs="Arial"/>
        </w:rPr>
        <w:t>/h;</w:t>
      </w:r>
    </w:p>
    <w:p w:rsidR="00AC1296" w:rsidRPr="0088489A" w:rsidRDefault="00AC1296" w:rsidP="00AC1296">
      <w:pPr>
        <w:spacing w:before="252" w:line="276" w:lineRule="auto"/>
        <w:ind w:firstLine="2232"/>
        <w:jc w:val="both"/>
        <w:rPr>
          <w:color w:val="auto"/>
          <w:w w:val="100"/>
          <w:sz w:val="22"/>
          <w:szCs w:val="22"/>
        </w:rPr>
      </w:pPr>
      <w:r w:rsidRPr="0088489A">
        <w:rPr>
          <w:b/>
          <w:bCs/>
          <w:color w:val="auto"/>
          <w:w w:val="100"/>
          <w:sz w:val="22"/>
          <w:szCs w:val="22"/>
        </w:rPr>
        <w:t xml:space="preserve">Art. 5º </w:t>
      </w:r>
      <w:r w:rsidRPr="0088489A">
        <w:rPr>
          <w:color w:val="auto"/>
          <w:w w:val="100"/>
          <w:sz w:val="22"/>
          <w:szCs w:val="22"/>
        </w:rPr>
        <w:t>A Contribuição para Custeio do Serviço de Iluminação Pública poderá ser cobrada diretamente ou mediante convênio ou contrato, na fatura de consumo de energia elétrica, emitida pela concessionária local, para os beneficiários do serviço de iluminação pública, ligados ao sistema de fornecimento de energia e inscritos no cadastro da concessionária.</w:t>
      </w:r>
    </w:p>
    <w:p w:rsidR="00AC1296" w:rsidRPr="0088489A" w:rsidRDefault="00AC1296" w:rsidP="00AC1296">
      <w:pPr>
        <w:spacing w:before="288" w:line="276" w:lineRule="auto"/>
        <w:ind w:firstLine="2232"/>
        <w:jc w:val="both"/>
        <w:rPr>
          <w:color w:val="auto"/>
          <w:w w:val="100"/>
          <w:sz w:val="22"/>
          <w:szCs w:val="22"/>
        </w:rPr>
      </w:pPr>
      <w:r w:rsidRPr="0088489A">
        <w:rPr>
          <w:b/>
          <w:bCs/>
          <w:color w:val="auto"/>
          <w:w w:val="100"/>
          <w:sz w:val="22"/>
          <w:szCs w:val="22"/>
        </w:rPr>
        <w:t xml:space="preserve">§ 1º </w:t>
      </w:r>
      <w:r w:rsidRPr="0088489A">
        <w:rPr>
          <w:color w:val="auto"/>
          <w:w w:val="100"/>
          <w:sz w:val="22"/>
          <w:szCs w:val="22"/>
        </w:rPr>
        <w:t>A data de vencimento da Contribuição para Custeio do Serviço de Iluminação Pública para os inscritos no cadastro da concessionária será a mesma da fatura de consumo de energia elétrica, emitida por aquela e nas demais situações a data será definida por Decreto Municipal.</w:t>
      </w:r>
    </w:p>
    <w:p w:rsidR="00AC1296" w:rsidRPr="0088489A" w:rsidRDefault="00AC1296" w:rsidP="00AC1296">
      <w:pPr>
        <w:spacing w:line="276" w:lineRule="auto"/>
        <w:ind w:firstLine="2232"/>
        <w:jc w:val="both"/>
        <w:rPr>
          <w:b/>
          <w:bCs/>
          <w:color w:val="auto"/>
          <w:w w:val="100"/>
          <w:sz w:val="22"/>
          <w:szCs w:val="22"/>
        </w:rPr>
      </w:pPr>
    </w:p>
    <w:p w:rsidR="00AC1296" w:rsidRPr="0088489A" w:rsidRDefault="00AC1296" w:rsidP="00AC1296">
      <w:pPr>
        <w:spacing w:line="276" w:lineRule="auto"/>
        <w:ind w:firstLine="2232"/>
        <w:jc w:val="both"/>
        <w:rPr>
          <w:color w:val="auto"/>
          <w:w w:val="100"/>
          <w:sz w:val="22"/>
          <w:szCs w:val="22"/>
        </w:rPr>
      </w:pPr>
      <w:r w:rsidRPr="0088489A">
        <w:rPr>
          <w:b/>
          <w:bCs/>
          <w:color w:val="auto"/>
          <w:w w:val="100"/>
          <w:sz w:val="22"/>
          <w:szCs w:val="22"/>
        </w:rPr>
        <w:t xml:space="preserve">§ 2º </w:t>
      </w:r>
      <w:r w:rsidRPr="0088489A">
        <w:rPr>
          <w:color w:val="auto"/>
          <w:w w:val="100"/>
          <w:sz w:val="22"/>
          <w:szCs w:val="22"/>
        </w:rPr>
        <w:t xml:space="preserve">O valor da contribuição cobrada na fatura de consumo de energia elétrica ou por documento de arrecadação municipal, não pago no prazo determinado, será inscrito em Dívida Ativa após </w:t>
      </w:r>
      <w:proofErr w:type="gramStart"/>
      <w:r w:rsidRPr="0088489A">
        <w:rPr>
          <w:color w:val="auto"/>
          <w:w w:val="100"/>
          <w:sz w:val="22"/>
          <w:szCs w:val="22"/>
        </w:rPr>
        <w:t>60 (sessenta) dias de inadimplência, acrescido</w:t>
      </w:r>
      <w:proofErr w:type="gramEnd"/>
      <w:r w:rsidRPr="0088489A">
        <w:rPr>
          <w:color w:val="auto"/>
          <w:w w:val="100"/>
          <w:sz w:val="22"/>
          <w:szCs w:val="22"/>
        </w:rPr>
        <w:t xml:space="preserve"> de juros de mora, multa e correção monetária nos termos da legislação tributária municipal.</w:t>
      </w:r>
    </w:p>
    <w:p w:rsidR="00AC1296" w:rsidRPr="0088489A" w:rsidRDefault="00AC1296" w:rsidP="00AC1296">
      <w:pPr>
        <w:spacing w:before="288" w:line="276" w:lineRule="auto"/>
        <w:ind w:firstLine="2232"/>
        <w:jc w:val="both"/>
        <w:rPr>
          <w:color w:val="auto"/>
          <w:w w:val="100"/>
          <w:sz w:val="22"/>
          <w:szCs w:val="22"/>
        </w:rPr>
      </w:pPr>
      <w:r w:rsidRPr="0088489A">
        <w:rPr>
          <w:b/>
          <w:bCs/>
          <w:color w:val="auto"/>
          <w:w w:val="100"/>
          <w:sz w:val="22"/>
          <w:szCs w:val="22"/>
        </w:rPr>
        <w:t xml:space="preserve">§ 3º </w:t>
      </w:r>
      <w:r w:rsidRPr="0088489A">
        <w:rPr>
          <w:color w:val="auto"/>
          <w:w w:val="100"/>
          <w:sz w:val="22"/>
          <w:szCs w:val="22"/>
        </w:rPr>
        <w:t xml:space="preserve">Os juros e multa devido e não pagos no ato do pagamento da contribuição correspondente, poderão ser cobrados juntamente com a contribuição devida do mês </w:t>
      </w:r>
      <w:r w:rsidRPr="0088489A">
        <w:rPr>
          <w:color w:val="auto"/>
          <w:w w:val="100"/>
          <w:sz w:val="22"/>
          <w:szCs w:val="22"/>
        </w:rPr>
        <w:t>subsequente</w:t>
      </w:r>
      <w:r w:rsidRPr="0088489A">
        <w:rPr>
          <w:color w:val="auto"/>
          <w:w w:val="100"/>
          <w:sz w:val="22"/>
          <w:szCs w:val="22"/>
        </w:rPr>
        <w:t>.</w:t>
      </w:r>
    </w:p>
    <w:p w:rsidR="00AC1296" w:rsidRDefault="00AC1296" w:rsidP="00AC1296">
      <w:pPr>
        <w:spacing w:before="252" w:line="276" w:lineRule="auto"/>
        <w:ind w:firstLine="2232"/>
        <w:jc w:val="both"/>
        <w:rPr>
          <w:b/>
          <w:bCs/>
          <w:color w:val="auto"/>
          <w:w w:val="100"/>
          <w:sz w:val="22"/>
          <w:szCs w:val="22"/>
        </w:rPr>
      </w:pPr>
    </w:p>
    <w:p w:rsidR="00AC1296" w:rsidRPr="0088489A" w:rsidRDefault="00AC1296" w:rsidP="00AC1296">
      <w:pPr>
        <w:spacing w:before="252" w:line="276" w:lineRule="auto"/>
        <w:ind w:firstLine="2232"/>
        <w:jc w:val="both"/>
        <w:rPr>
          <w:color w:val="auto"/>
          <w:w w:val="100"/>
          <w:sz w:val="22"/>
          <w:szCs w:val="22"/>
        </w:rPr>
      </w:pPr>
      <w:r w:rsidRPr="0088489A">
        <w:rPr>
          <w:b/>
          <w:bCs/>
          <w:color w:val="auto"/>
          <w:w w:val="100"/>
          <w:sz w:val="22"/>
          <w:szCs w:val="22"/>
        </w:rPr>
        <w:t xml:space="preserve">§ 4º </w:t>
      </w:r>
      <w:r w:rsidRPr="0088489A">
        <w:rPr>
          <w:color w:val="auto"/>
          <w:w w:val="100"/>
          <w:sz w:val="22"/>
          <w:szCs w:val="22"/>
        </w:rPr>
        <w:t>Servirá como documento hábil para inscrição em Dívida Ativa:</w:t>
      </w:r>
    </w:p>
    <w:p w:rsidR="00AC1296" w:rsidRPr="0088489A" w:rsidRDefault="00AC1296" w:rsidP="00AC1296">
      <w:pPr>
        <w:spacing w:before="288" w:line="276" w:lineRule="auto"/>
        <w:ind w:firstLine="2232"/>
        <w:jc w:val="both"/>
        <w:rPr>
          <w:color w:val="auto"/>
          <w:w w:val="100"/>
          <w:sz w:val="22"/>
          <w:szCs w:val="22"/>
        </w:rPr>
      </w:pPr>
      <w:r w:rsidRPr="0088489A">
        <w:rPr>
          <w:color w:val="auto"/>
          <w:w w:val="100"/>
          <w:sz w:val="22"/>
          <w:szCs w:val="22"/>
        </w:rPr>
        <w:t xml:space="preserve">I </w:t>
      </w:r>
      <w:proofErr w:type="gramStart"/>
      <w:r w:rsidRPr="0088489A">
        <w:rPr>
          <w:color w:val="auto"/>
          <w:w w:val="100"/>
          <w:sz w:val="22"/>
          <w:szCs w:val="22"/>
        </w:rPr>
        <w:t>-Comunicação</w:t>
      </w:r>
      <w:proofErr w:type="gramEnd"/>
      <w:r w:rsidRPr="0088489A">
        <w:rPr>
          <w:color w:val="auto"/>
          <w:w w:val="100"/>
          <w:sz w:val="22"/>
          <w:szCs w:val="22"/>
        </w:rPr>
        <w:t xml:space="preserve"> do não pagamento da contribuição, informada pela concessionária de energia elétrica;</w:t>
      </w:r>
    </w:p>
    <w:p w:rsidR="00AC1296" w:rsidRPr="0088489A" w:rsidRDefault="00AC1296" w:rsidP="00AC1296">
      <w:pPr>
        <w:spacing w:before="288" w:line="276" w:lineRule="auto"/>
        <w:ind w:firstLine="2232"/>
        <w:jc w:val="both"/>
        <w:rPr>
          <w:color w:val="auto"/>
          <w:w w:val="100"/>
          <w:sz w:val="22"/>
          <w:szCs w:val="22"/>
        </w:rPr>
      </w:pPr>
      <w:r w:rsidRPr="0088489A">
        <w:rPr>
          <w:color w:val="auto"/>
          <w:w w:val="100"/>
          <w:sz w:val="22"/>
          <w:szCs w:val="22"/>
        </w:rPr>
        <w:t>II - A fatura de energia elétrica que contenha a contribuição não paga, ou qualquer outro documento que contenha a dívida e os elementos previstos no art. 202 do Código Tributário Nacional (CTN).</w:t>
      </w:r>
    </w:p>
    <w:p w:rsidR="00AC1296" w:rsidRPr="0088489A" w:rsidRDefault="00AC1296" w:rsidP="00AC1296">
      <w:pPr>
        <w:spacing w:before="288" w:line="276" w:lineRule="auto"/>
        <w:ind w:left="2232"/>
        <w:jc w:val="both"/>
        <w:rPr>
          <w:color w:val="auto"/>
          <w:w w:val="100"/>
          <w:sz w:val="22"/>
          <w:szCs w:val="22"/>
        </w:rPr>
      </w:pPr>
      <w:proofErr w:type="spellStart"/>
      <w:r w:rsidRPr="0088489A">
        <w:rPr>
          <w:b/>
          <w:bCs/>
          <w:color w:val="auto"/>
          <w:w w:val="100"/>
          <w:sz w:val="22"/>
          <w:szCs w:val="22"/>
        </w:rPr>
        <w:t>Art</w:t>
      </w:r>
      <w:proofErr w:type="spellEnd"/>
      <w:r w:rsidRPr="0088489A">
        <w:rPr>
          <w:b/>
          <w:bCs/>
          <w:color w:val="auto"/>
          <w:w w:val="100"/>
          <w:sz w:val="22"/>
          <w:szCs w:val="22"/>
        </w:rPr>
        <w:t xml:space="preserve"> 6º </w:t>
      </w:r>
      <w:r w:rsidRPr="0088489A">
        <w:rPr>
          <w:color w:val="auto"/>
          <w:w w:val="100"/>
          <w:sz w:val="22"/>
          <w:szCs w:val="22"/>
        </w:rPr>
        <w:t>O convênio a que se refere o artigo 5º deverá conter:</w:t>
      </w:r>
    </w:p>
    <w:p w:rsidR="00AC1296" w:rsidRPr="0088489A" w:rsidRDefault="00AC1296" w:rsidP="00AC1296">
      <w:pPr>
        <w:pStyle w:val="PargrafodaLista"/>
        <w:widowControl w:val="0"/>
        <w:numPr>
          <w:ilvl w:val="0"/>
          <w:numId w:val="3"/>
        </w:numPr>
        <w:autoSpaceDE w:val="0"/>
        <w:autoSpaceDN w:val="0"/>
        <w:spacing w:before="252"/>
        <w:ind w:left="709" w:hanging="425"/>
        <w:jc w:val="both"/>
        <w:rPr>
          <w:rFonts w:ascii="Arial" w:hAnsi="Arial" w:cs="Arial"/>
          <w:bCs/>
        </w:rPr>
      </w:pPr>
      <w:r w:rsidRPr="0088489A">
        <w:rPr>
          <w:rFonts w:ascii="Arial" w:hAnsi="Arial" w:cs="Arial"/>
        </w:rPr>
        <w:t>Previsão de repasse do valor arrecadado pela distribuidora ou concessionária ao Município;</w:t>
      </w:r>
    </w:p>
    <w:p w:rsidR="00AC1296" w:rsidRPr="0088489A" w:rsidRDefault="00AC1296" w:rsidP="00AC1296">
      <w:pPr>
        <w:pStyle w:val="PargrafodaLista"/>
        <w:widowControl w:val="0"/>
        <w:numPr>
          <w:ilvl w:val="0"/>
          <w:numId w:val="3"/>
        </w:numPr>
        <w:autoSpaceDE w:val="0"/>
        <w:autoSpaceDN w:val="0"/>
        <w:spacing w:before="252"/>
        <w:ind w:left="709" w:right="864" w:hanging="425"/>
        <w:jc w:val="both"/>
        <w:rPr>
          <w:rFonts w:ascii="Arial" w:hAnsi="Arial" w:cs="Arial"/>
          <w:bCs/>
        </w:rPr>
      </w:pPr>
      <w:r w:rsidRPr="0088489A">
        <w:rPr>
          <w:rFonts w:ascii="Arial" w:hAnsi="Arial" w:cs="Arial"/>
          <w:bCs/>
        </w:rPr>
        <w:t>Forma e prazo para o repasse ao Município que não poderá ultrapassar 10 (dez) dias do pagamento pelo contribuinte ou responsável;</w:t>
      </w:r>
    </w:p>
    <w:p w:rsidR="00AC1296" w:rsidRPr="0088489A" w:rsidRDefault="00AC1296" w:rsidP="00AC1296">
      <w:pPr>
        <w:pStyle w:val="PargrafodaLista"/>
        <w:widowControl w:val="0"/>
        <w:numPr>
          <w:ilvl w:val="0"/>
          <w:numId w:val="3"/>
        </w:numPr>
        <w:autoSpaceDE w:val="0"/>
        <w:autoSpaceDN w:val="0"/>
        <w:spacing w:before="252"/>
        <w:ind w:left="709" w:right="864" w:hanging="425"/>
        <w:jc w:val="both"/>
        <w:rPr>
          <w:rFonts w:ascii="Arial" w:hAnsi="Arial" w:cs="Arial"/>
          <w:bCs/>
        </w:rPr>
      </w:pPr>
      <w:r w:rsidRPr="0088489A">
        <w:rPr>
          <w:rFonts w:ascii="Arial" w:hAnsi="Arial" w:cs="Arial"/>
          <w:bCs/>
        </w:rPr>
        <w:t>Identificação do contribuinte, sempre que possível com as seguintes informações:</w:t>
      </w:r>
    </w:p>
    <w:p w:rsidR="00AC1296" w:rsidRPr="0088489A" w:rsidRDefault="00AC1296" w:rsidP="00AC1296">
      <w:pPr>
        <w:widowControl w:val="0"/>
        <w:numPr>
          <w:ilvl w:val="0"/>
          <w:numId w:val="1"/>
        </w:numPr>
        <w:tabs>
          <w:tab w:val="clear" w:pos="2592"/>
        </w:tabs>
        <w:autoSpaceDE w:val="0"/>
        <w:autoSpaceDN w:val="0"/>
        <w:spacing w:line="276" w:lineRule="auto"/>
        <w:ind w:left="709"/>
        <w:rPr>
          <w:color w:val="auto"/>
          <w:w w:val="100"/>
          <w:sz w:val="22"/>
          <w:szCs w:val="22"/>
          <w:lang w:val="en-US"/>
        </w:rPr>
      </w:pPr>
      <w:r w:rsidRPr="0088489A">
        <w:rPr>
          <w:color w:val="auto"/>
          <w:w w:val="100"/>
          <w:sz w:val="22"/>
          <w:szCs w:val="22"/>
          <w:lang w:val="en-US"/>
        </w:rPr>
        <w:t xml:space="preserve">Nome do </w:t>
      </w:r>
      <w:proofErr w:type="spellStart"/>
      <w:r w:rsidRPr="0088489A">
        <w:rPr>
          <w:color w:val="auto"/>
          <w:w w:val="100"/>
          <w:sz w:val="22"/>
          <w:szCs w:val="22"/>
          <w:lang w:val="en-US"/>
        </w:rPr>
        <w:t>Contribuinte</w:t>
      </w:r>
      <w:proofErr w:type="spellEnd"/>
      <w:r w:rsidRPr="0088489A">
        <w:rPr>
          <w:color w:val="auto"/>
          <w:w w:val="100"/>
          <w:sz w:val="22"/>
          <w:szCs w:val="22"/>
          <w:lang w:val="en-US"/>
        </w:rPr>
        <w:t>;</w:t>
      </w:r>
    </w:p>
    <w:p w:rsidR="00AC1296" w:rsidRPr="0088489A" w:rsidRDefault="00AC1296" w:rsidP="00AC1296">
      <w:pPr>
        <w:widowControl w:val="0"/>
        <w:numPr>
          <w:ilvl w:val="0"/>
          <w:numId w:val="1"/>
        </w:numPr>
        <w:tabs>
          <w:tab w:val="clear" w:pos="2592"/>
        </w:tabs>
        <w:autoSpaceDE w:val="0"/>
        <w:autoSpaceDN w:val="0"/>
        <w:spacing w:line="276" w:lineRule="auto"/>
        <w:ind w:left="709"/>
        <w:rPr>
          <w:color w:val="auto"/>
          <w:w w:val="100"/>
          <w:sz w:val="22"/>
          <w:szCs w:val="22"/>
        </w:rPr>
      </w:pPr>
      <w:r w:rsidRPr="0088489A">
        <w:rPr>
          <w:color w:val="auto"/>
          <w:w w:val="100"/>
          <w:sz w:val="22"/>
          <w:szCs w:val="22"/>
        </w:rPr>
        <w:t>CPF ou RG do Contribuinte:</w:t>
      </w:r>
    </w:p>
    <w:p w:rsidR="00AC1296" w:rsidRPr="0088489A" w:rsidRDefault="00AC1296" w:rsidP="00AC1296">
      <w:pPr>
        <w:widowControl w:val="0"/>
        <w:numPr>
          <w:ilvl w:val="0"/>
          <w:numId w:val="1"/>
        </w:numPr>
        <w:tabs>
          <w:tab w:val="clear" w:pos="2592"/>
        </w:tabs>
        <w:autoSpaceDE w:val="0"/>
        <w:autoSpaceDN w:val="0"/>
        <w:spacing w:line="276" w:lineRule="auto"/>
        <w:ind w:left="709"/>
        <w:rPr>
          <w:color w:val="auto"/>
          <w:w w:val="100"/>
          <w:sz w:val="22"/>
          <w:szCs w:val="22"/>
          <w:lang w:val="en-US"/>
        </w:rPr>
      </w:pPr>
      <w:proofErr w:type="spellStart"/>
      <w:r w:rsidRPr="0088489A">
        <w:rPr>
          <w:color w:val="auto"/>
          <w:w w:val="100"/>
          <w:sz w:val="22"/>
          <w:szCs w:val="22"/>
          <w:lang w:val="en-US"/>
        </w:rPr>
        <w:t>Endereço</w:t>
      </w:r>
      <w:proofErr w:type="spellEnd"/>
      <w:r w:rsidRPr="0088489A">
        <w:rPr>
          <w:color w:val="auto"/>
          <w:w w:val="100"/>
          <w:sz w:val="22"/>
          <w:szCs w:val="22"/>
          <w:lang w:val="en-US"/>
        </w:rPr>
        <w:t xml:space="preserve"> do </w:t>
      </w:r>
      <w:proofErr w:type="spellStart"/>
      <w:r w:rsidRPr="0088489A">
        <w:rPr>
          <w:color w:val="auto"/>
          <w:w w:val="100"/>
          <w:sz w:val="22"/>
          <w:szCs w:val="22"/>
          <w:lang w:val="en-US"/>
        </w:rPr>
        <w:t>imóvel</w:t>
      </w:r>
      <w:proofErr w:type="spellEnd"/>
    </w:p>
    <w:p w:rsidR="00AC1296" w:rsidRPr="0088489A" w:rsidRDefault="00AC1296" w:rsidP="00AC1296">
      <w:pPr>
        <w:widowControl w:val="0"/>
        <w:numPr>
          <w:ilvl w:val="0"/>
          <w:numId w:val="1"/>
        </w:numPr>
        <w:tabs>
          <w:tab w:val="clear" w:pos="2592"/>
        </w:tabs>
        <w:autoSpaceDE w:val="0"/>
        <w:autoSpaceDN w:val="0"/>
        <w:spacing w:line="276" w:lineRule="auto"/>
        <w:ind w:left="709"/>
        <w:rPr>
          <w:color w:val="auto"/>
          <w:w w:val="100"/>
          <w:sz w:val="22"/>
          <w:szCs w:val="22"/>
          <w:lang w:val="en-US"/>
        </w:rPr>
      </w:pPr>
      <w:proofErr w:type="spellStart"/>
      <w:r w:rsidRPr="0088489A">
        <w:rPr>
          <w:color w:val="auto"/>
          <w:w w:val="100"/>
          <w:sz w:val="22"/>
          <w:szCs w:val="22"/>
          <w:lang w:val="en-US"/>
        </w:rPr>
        <w:t>Endereço</w:t>
      </w:r>
      <w:proofErr w:type="spellEnd"/>
      <w:r w:rsidRPr="0088489A">
        <w:rPr>
          <w:color w:val="auto"/>
          <w:w w:val="100"/>
          <w:sz w:val="22"/>
          <w:szCs w:val="22"/>
          <w:lang w:val="en-US"/>
        </w:rPr>
        <w:t xml:space="preserve"> do </w:t>
      </w:r>
      <w:proofErr w:type="spellStart"/>
      <w:r w:rsidRPr="0088489A">
        <w:rPr>
          <w:color w:val="auto"/>
          <w:w w:val="100"/>
          <w:sz w:val="22"/>
          <w:szCs w:val="22"/>
          <w:lang w:val="en-US"/>
        </w:rPr>
        <w:t>Contribuinte</w:t>
      </w:r>
      <w:proofErr w:type="spellEnd"/>
      <w:r w:rsidRPr="0088489A">
        <w:rPr>
          <w:color w:val="auto"/>
          <w:w w:val="100"/>
          <w:sz w:val="22"/>
          <w:szCs w:val="22"/>
          <w:lang w:val="en-US"/>
        </w:rPr>
        <w:t>;</w:t>
      </w:r>
    </w:p>
    <w:p w:rsidR="00AC1296" w:rsidRPr="0088489A" w:rsidRDefault="00AC1296" w:rsidP="00AC1296">
      <w:pPr>
        <w:widowControl w:val="0"/>
        <w:numPr>
          <w:ilvl w:val="0"/>
          <w:numId w:val="1"/>
        </w:numPr>
        <w:tabs>
          <w:tab w:val="clear" w:pos="2592"/>
        </w:tabs>
        <w:autoSpaceDE w:val="0"/>
        <w:autoSpaceDN w:val="0"/>
        <w:spacing w:line="276" w:lineRule="auto"/>
        <w:ind w:left="709"/>
        <w:rPr>
          <w:color w:val="auto"/>
          <w:w w:val="100"/>
          <w:sz w:val="22"/>
          <w:szCs w:val="22"/>
          <w:lang w:val="en-US"/>
        </w:rPr>
      </w:pPr>
      <w:r w:rsidRPr="0088489A">
        <w:rPr>
          <w:color w:val="auto"/>
          <w:w w:val="100"/>
          <w:sz w:val="22"/>
          <w:szCs w:val="22"/>
          <w:lang w:val="en-US"/>
        </w:rPr>
        <w:t xml:space="preserve">Data do </w:t>
      </w:r>
      <w:proofErr w:type="spellStart"/>
      <w:r w:rsidRPr="0088489A">
        <w:rPr>
          <w:color w:val="auto"/>
          <w:w w:val="100"/>
          <w:sz w:val="22"/>
          <w:szCs w:val="22"/>
          <w:lang w:val="en-US"/>
        </w:rPr>
        <w:t>pagamento</w:t>
      </w:r>
      <w:proofErr w:type="spellEnd"/>
      <w:r w:rsidRPr="0088489A">
        <w:rPr>
          <w:color w:val="auto"/>
          <w:w w:val="100"/>
          <w:sz w:val="22"/>
          <w:szCs w:val="22"/>
          <w:lang w:val="en-US"/>
        </w:rPr>
        <w:t>;</w:t>
      </w:r>
    </w:p>
    <w:p w:rsidR="00AC1296" w:rsidRPr="0088489A" w:rsidRDefault="00AC1296" w:rsidP="00AC1296">
      <w:pPr>
        <w:widowControl w:val="0"/>
        <w:numPr>
          <w:ilvl w:val="0"/>
          <w:numId w:val="1"/>
        </w:numPr>
        <w:tabs>
          <w:tab w:val="clear" w:pos="2592"/>
        </w:tabs>
        <w:autoSpaceDE w:val="0"/>
        <w:autoSpaceDN w:val="0"/>
        <w:spacing w:line="276" w:lineRule="auto"/>
        <w:ind w:left="709"/>
        <w:rPr>
          <w:color w:val="auto"/>
          <w:w w:val="100"/>
          <w:sz w:val="22"/>
          <w:szCs w:val="22"/>
          <w:lang w:val="en-US"/>
        </w:rPr>
      </w:pPr>
      <w:proofErr w:type="gramStart"/>
      <w:r w:rsidRPr="0088489A">
        <w:rPr>
          <w:color w:val="auto"/>
          <w:w w:val="100"/>
          <w:sz w:val="22"/>
          <w:szCs w:val="22"/>
          <w:lang w:val="en-US"/>
        </w:rPr>
        <w:t>Valor do</w:t>
      </w:r>
      <w:proofErr w:type="gramEnd"/>
      <w:r w:rsidRPr="0088489A">
        <w:rPr>
          <w:color w:val="auto"/>
          <w:w w:val="100"/>
          <w:sz w:val="22"/>
          <w:szCs w:val="22"/>
          <w:lang w:val="en-US"/>
        </w:rPr>
        <w:t xml:space="preserve"> </w:t>
      </w:r>
      <w:proofErr w:type="spellStart"/>
      <w:r w:rsidRPr="0088489A">
        <w:rPr>
          <w:color w:val="auto"/>
          <w:w w:val="100"/>
          <w:sz w:val="22"/>
          <w:szCs w:val="22"/>
          <w:lang w:val="en-US"/>
        </w:rPr>
        <w:t>pagamento</w:t>
      </w:r>
      <w:proofErr w:type="spellEnd"/>
      <w:r w:rsidRPr="0088489A">
        <w:rPr>
          <w:color w:val="auto"/>
          <w:w w:val="100"/>
          <w:sz w:val="22"/>
          <w:szCs w:val="22"/>
          <w:lang w:val="en-US"/>
        </w:rPr>
        <w:t>.</w:t>
      </w:r>
    </w:p>
    <w:p w:rsidR="00AC1296" w:rsidRPr="0088489A" w:rsidRDefault="00AC1296" w:rsidP="00AC1296">
      <w:pPr>
        <w:spacing w:before="288" w:line="276" w:lineRule="auto"/>
        <w:ind w:firstLine="2232"/>
        <w:jc w:val="both"/>
        <w:rPr>
          <w:color w:val="auto"/>
          <w:w w:val="100"/>
          <w:sz w:val="22"/>
          <w:szCs w:val="22"/>
        </w:rPr>
      </w:pPr>
      <w:r w:rsidRPr="0088489A">
        <w:rPr>
          <w:b/>
          <w:bCs/>
          <w:color w:val="auto"/>
          <w:w w:val="100"/>
          <w:sz w:val="22"/>
          <w:szCs w:val="22"/>
        </w:rPr>
        <w:t xml:space="preserve">Art. 7º </w:t>
      </w:r>
      <w:r w:rsidRPr="0088489A">
        <w:rPr>
          <w:bCs/>
          <w:color w:val="auto"/>
          <w:w w:val="100"/>
          <w:sz w:val="22"/>
          <w:szCs w:val="22"/>
        </w:rPr>
        <w:t xml:space="preserve">Para a efetiva </w:t>
      </w:r>
      <w:proofErr w:type="gramStart"/>
      <w:r w:rsidRPr="0088489A">
        <w:rPr>
          <w:bCs/>
          <w:color w:val="auto"/>
          <w:w w:val="100"/>
          <w:sz w:val="22"/>
          <w:szCs w:val="22"/>
        </w:rPr>
        <w:t>implementação</w:t>
      </w:r>
      <w:proofErr w:type="gramEnd"/>
      <w:r w:rsidRPr="0088489A">
        <w:rPr>
          <w:bCs/>
          <w:color w:val="auto"/>
          <w:w w:val="100"/>
          <w:sz w:val="22"/>
          <w:szCs w:val="22"/>
        </w:rPr>
        <w:t>, coordenação e fiscalização dos valores arrecadados</w:t>
      </w:r>
      <w:r w:rsidRPr="0088489A">
        <w:rPr>
          <w:b/>
          <w:bCs/>
          <w:color w:val="auto"/>
          <w:w w:val="100"/>
          <w:sz w:val="22"/>
          <w:szCs w:val="22"/>
        </w:rPr>
        <w:t xml:space="preserve"> </w:t>
      </w:r>
      <w:r w:rsidRPr="0088489A">
        <w:rPr>
          <w:color w:val="auto"/>
          <w:w w:val="100"/>
          <w:sz w:val="22"/>
          <w:szCs w:val="22"/>
        </w:rPr>
        <w:t>com a contribuição da iluminação pública, ficam criados os seguintes instrumentos de gestão:</w:t>
      </w:r>
    </w:p>
    <w:p w:rsidR="00AC1296" w:rsidRPr="0088489A" w:rsidRDefault="00AC1296" w:rsidP="00AC1296">
      <w:pPr>
        <w:spacing w:before="288" w:after="240" w:line="276" w:lineRule="auto"/>
        <w:rPr>
          <w:color w:val="auto"/>
          <w:w w:val="100"/>
          <w:sz w:val="22"/>
          <w:szCs w:val="22"/>
        </w:rPr>
      </w:pPr>
      <w:r w:rsidRPr="0088489A">
        <w:rPr>
          <w:color w:val="auto"/>
          <w:w w:val="100"/>
          <w:sz w:val="22"/>
          <w:szCs w:val="22"/>
        </w:rPr>
        <w:t>I – Fundo Municipal de Custeio do Serviço de Iluminação Pública – FUMCIP;</w:t>
      </w:r>
    </w:p>
    <w:p w:rsidR="00AC1296" w:rsidRPr="0088489A" w:rsidRDefault="00AC1296" w:rsidP="00AC1296">
      <w:pPr>
        <w:spacing w:after="240" w:line="276" w:lineRule="auto"/>
        <w:rPr>
          <w:color w:val="auto"/>
          <w:w w:val="100"/>
          <w:sz w:val="22"/>
          <w:szCs w:val="22"/>
        </w:rPr>
      </w:pPr>
      <w:r w:rsidRPr="0088489A">
        <w:rPr>
          <w:color w:val="auto"/>
          <w:w w:val="100"/>
          <w:sz w:val="22"/>
          <w:szCs w:val="22"/>
        </w:rPr>
        <w:t>II- Conselho Fiscal do FUMCIP.</w:t>
      </w:r>
    </w:p>
    <w:p w:rsidR="00AC1296" w:rsidRPr="0088489A" w:rsidRDefault="00AC1296" w:rsidP="00AC1296">
      <w:pPr>
        <w:spacing w:before="252" w:after="240" w:line="276" w:lineRule="auto"/>
        <w:ind w:firstLine="2232"/>
        <w:jc w:val="both"/>
        <w:rPr>
          <w:bCs/>
          <w:color w:val="auto"/>
          <w:w w:val="100"/>
          <w:sz w:val="22"/>
          <w:szCs w:val="22"/>
        </w:rPr>
      </w:pPr>
      <w:r w:rsidRPr="0088489A">
        <w:rPr>
          <w:b/>
          <w:bCs/>
          <w:color w:val="auto"/>
          <w:w w:val="100"/>
          <w:sz w:val="22"/>
          <w:szCs w:val="22"/>
        </w:rPr>
        <w:t>§1º</w:t>
      </w:r>
      <w:r w:rsidRPr="0088489A">
        <w:rPr>
          <w:bCs/>
          <w:color w:val="auto"/>
          <w:w w:val="100"/>
          <w:sz w:val="22"/>
          <w:szCs w:val="22"/>
        </w:rPr>
        <w:t xml:space="preserve"> O FUMCIP terá natureza contábil, sendo seu gestor o titular da Secretaria Municipal de Finanças, com a responsabilidade de coordenar e </w:t>
      </w:r>
      <w:proofErr w:type="gramStart"/>
      <w:r w:rsidRPr="0088489A">
        <w:rPr>
          <w:bCs/>
          <w:color w:val="auto"/>
          <w:w w:val="100"/>
          <w:sz w:val="22"/>
          <w:szCs w:val="22"/>
        </w:rPr>
        <w:t>implementar</w:t>
      </w:r>
      <w:proofErr w:type="gramEnd"/>
      <w:r w:rsidRPr="0088489A">
        <w:rPr>
          <w:bCs/>
          <w:color w:val="auto"/>
          <w:w w:val="100"/>
          <w:sz w:val="22"/>
          <w:szCs w:val="22"/>
        </w:rPr>
        <w:t xml:space="preserve"> os serviços previstos no parágrafo único do art. 1º desta Lei, tendo como órgão fiscalizador o Conselho Fiscal, previsto no inciso II deste artigo.</w:t>
      </w:r>
    </w:p>
    <w:p w:rsidR="00AC1296" w:rsidRPr="0088489A" w:rsidRDefault="00AC1296" w:rsidP="00AC1296">
      <w:pPr>
        <w:spacing w:before="288" w:line="276" w:lineRule="auto"/>
        <w:ind w:firstLine="2232"/>
        <w:jc w:val="both"/>
        <w:rPr>
          <w:b/>
          <w:bCs/>
          <w:color w:val="auto"/>
          <w:w w:val="100"/>
          <w:sz w:val="22"/>
          <w:szCs w:val="22"/>
        </w:rPr>
      </w:pPr>
      <w:r w:rsidRPr="0088489A">
        <w:rPr>
          <w:b/>
          <w:bCs/>
          <w:color w:val="auto"/>
          <w:w w:val="100"/>
          <w:sz w:val="22"/>
          <w:szCs w:val="22"/>
        </w:rPr>
        <w:t xml:space="preserve">§2º </w:t>
      </w:r>
      <w:r w:rsidRPr="0088489A">
        <w:rPr>
          <w:bCs/>
          <w:color w:val="auto"/>
          <w:w w:val="100"/>
          <w:sz w:val="22"/>
          <w:szCs w:val="22"/>
        </w:rPr>
        <w:t>Ficam vinculados ao FUMCIP, sem exceção, todos os recursos arrecadados com a COSIP</w:t>
      </w:r>
      <w:r w:rsidRPr="0088489A">
        <w:rPr>
          <w:b/>
          <w:bCs/>
          <w:color w:val="auto"/>
          <w:w w:val="100"/>
          <w:sz w:val="22"/>
          <w:szCs w:val="22"/>
        </w:rPr>
        <w:t>.</w:t>
      </w:r>
    </w:p>
    <w:p w:rsidR="00AC1296" w:rsidRPr="0088489A" w:rsidRDefault="00AC1296" w:rsidP="00AC1296">
      <w:pPr>
        <w:spacing w:before="288" w:line="276" w:lineRule="auto"/>
        <w:ind w:firstLine="2232"/>
        <w:rPr>
          <w:color w:val="auto"/>
          <w:w w:val="100"/>
          <w:sz w:val="22"/>
          <w:szCs w:val="22"/>
        </w:rPr>
      </w:pPr>
      <w:r w:rsidRPr="0088489A">
        <w:rPr>
          <w:b/>
          <w:bCs/>
          <w:color w:val="auto"/>
          <w:w w:val="100"/>
          <w:sz w:val="22"/>
          <w:szCs w:val="22"/>
        </w:rPr>
        <w:t xml:space="preserve">Art. 8º </w:t>
      </w:r>
      <w:r w:rsidRPr="0088489A">
        <w:rPr>
          <w:color w:val="auto"/>
          <w:w w:val="100"/>
          <w:sz w:val="22"/>
          <w:szCs w:val="22"/>
        </w:rPr>
        <w:t>O Conselho Fiscal do FUMCIP será composto por um titular e um suplente, indicados pelas seguintes entidades:</w:t>
      </w:r>
    </w:p>
    <w:p w:rsidR="00AC1296" w:rsidRDefault="00AC1296" w:rsidP="00AC1296">
      <w:pPr>
        <w:pStyle w:val="PargrafodaLista"/>
        <w:widowControl w:val="0"/>
        <w:numPr>
          <w:ilvl w:val="0"/>
          <w:numId w:val="4"/>
        </w:numPr>
        <w:autoSpaceDE w:val="0"/>
        <w:autoSpaceDN w:val="0"/>
        <w:spacing w:before="252"/>
        <w:rPr>
          <w:rFonts w:ascii="Arial" w:hAnsi="Arial" w:cs="Arial"/>
        </w:rPr>
      </w:pPr>
      <w:r w:rsidRPr="0088489A">
        <w:rPr>
          <w:rFonts w:ascii="Arial" w:hAnsi="Arial" w:cs="Arial"/>
        </w:rPr>
        <w:t>Secretaria Municipal de Finanças (SEMFA);</w:t>
      </w:r>
    </w:p>
    <w:p w:rsidR="00AC1296" w:rsidRDefault="00AC1296" w:rsidP="00AC1296">
      <w:pPr>
        <w:widowControl w:val="0"/>
        <w:autoSpaceDE w:val="0"/>
        <w:autoSpaceDN w:val="0"/>
        <w:spacing w:before="252"/>
      </w:pPr>
    </w:p>
    <w:p w:rsidR="00AC1296" w:rsidRPr="00AC1296" w:rsidRDefault="00AC1296" w:rsidP="00AC1296">
      <w:pPr>
        <w:widowControl w:val="0"/>
        <w:autoSpaceDE w:val="0"/>
        <w:autoSpaceDN w:val="0"/>
        <w:spacing w:before="252"/>
      </w:pPr>
    </w:p>
    <w:p w:rsidR="00AC1296" w:rsidRPr="0088489A" w:rsidRDefault="00AC1296" w:rsidP="00AC1296">
      <w:pPr>
        <w:pStyle w:val="PargrafodaLista"/>
        <w:widowControl w:val="0"/>
        <w:numPr>
          <w:ilvl w:val="0"/>
          <w:numId w:val="4"/>
        </w:numPr>
        <w:autoSpaceDE w:val="0"/>
        <w:autoSpaceDN w:val="0"/>
        <w:spacing w:before="252"/>
        <w:rPr>
          <w:rFonts w:ascii="Arial" w:hAnsi="Arial" w:cs="Arial"/>
        </w:rPr>
      </w:pPr>
      <w:r w:rsidRPr="0088489A">
        <w:rPr>
          <w:rFonts w:ascii="Arial" w:hAnsi="Arial" w:cs="Arial"/>
        </w:rPr>
        <w:t>Secretaria Municipal de Administração (SEMAD);</w:t>
      </w:r>
    </w:p>
    <w:p w:rsidR="00AC1296" w:rsidRPr="0088489A" w:rsidRDefault="00AC1296" w:rsidP="00AC1296">
      <w:pPr>
        <w:pStyle w:val="PargrafodaLista"/>
        <w:widowControl w:val="0"/>
        <w:numPr>
          <w:ilvl w:val="0"/>
          <w:numId w:val="4"/>
        </w:numPr>
        <w:autoSpaceDE w:val="0"/>
        <w:autoSpaceDN w:val="0"/>
        <w:spacing w:before="252"/>
        <w:rPr>
          <w:rFonts w:ascii="Arial" w:hAnsi="Arial" w:cs="Arial"/>
        </w:rPr>
      </w:pPr>
      <w:r w:rsidRPr="0088489A">
        <w:rPr>
          <w:rFonts w:ascii="Arial" w:hAnsi="Arial" w:cs="Arial"/>
        </w:rPr>
        <w:t>Procuradoria Geral Municipal – (PROJUR)</w:t>
      </w:r>
    </w:p>
    <w:p w:rsidR="00AC1296" w:rsidRPr="0088489A" w:rsidRDefault="00AC1296" w:rsidP="00AC1296">
      <w:pPr>
        <w:pStyle w:val="PargrafodaLista"/>
        <w:widowControl w:val="0"/>
        <w:numPr>
          <w:ilvl w:val="0"/>
          <w:numId w:val="4"/>
        </w:numPr>
        <w:autoSpaceDE w:val="0"/>
        <w:autoSpaceDN w:val="0"/>
        <w:spacing w:before="252"/>
        <w:rPr>
          <w:rFonts w:ascii="Arial" w:hAnsi="Arial" w:cs="Arial"/>
        </w:rPr>
      </w:pPr>
      <w:r w:rsidRPr="0088489A">
        <w:rPr>
          <w:rFonts w:ascii="Arial" w:hAnsi="Arial" w:cs="Arial"/>
        </w:rPr>
        <w:t>Ordem dos Advogados do Brasil (OAB);</w:t>
      </w:r>
    </w:p>
    <w:p w:rsidR="00AC1296" w:rsidRPr="0088489A" w:rsidRDefault="00AC1296" w:rsidP="00AC1296">
      <w:pPr>
        <w:pStyle w:val="PargrafodaLista"/>
        <w:widowControl w:val="0"/>
        <w:numPr>
          <w:ilvl w:val="0"/>
          <w:numId w:val="4"/>
        </w:numPr>
        <w:autoSpaceDE w:val="0"/>
        <w:autoSpaceDN w:val="0"/>
        <w:spacing w:before="252"/>
        <w:rPr>
          <w:rFonts w:ascii="Arial" w:hAnsi="Arial" w:cs="Arial"/>
        </w:rPr>
      </w:pPr>
      <w:r w:rsidRPr="0088489A">
        <w:rPr>
          <w:rFonts w:ascii="Arial" w:hAnsi="Arial" w:cs="Arial"/>
        </w:rPr>
        <w:t>Sindicato dos Trabalhadores Rurais;</w:t>
      </w:r>
    </w:p>
    <w:p w:rsidR="00AC1296" w:rsidRPr="0088489A" w:rsidRDefault="00AC1296" w:rsidP="00AC1296">
      <w:pPr>
        <w:pStyle w:val="PargrafodaLista"/>
        <w:widowControl w:val="0"/>
        <w:numPr>
          <w:ilvl w:val="0"/>
          <w:numId w:val="4"/>
        </w:numPr>
        <w:autoSpaceDE w:val="0"/>
        <w:autoSpaceDN w:val="0"/>
        <w:spacing w:before="252"/>
        <w:rPr>
          <w:rFonts w:ascii="Arial" w:hAnsi="Arial" w:cs="Arial"/>
        </w:rPr>
      </w:pPr>
      <w:r w:rsidRPr="0088489A">
        <w:rPr>
          <w:rFonts w:ascii="Arial" w:hAnsi="Arial" w:cs="Arial"/>
          <w:shd w:val="clear" w:color="auto" w:fill="FFFFFF"/>
        </w:rPr>
        <w:t>Associação Comercial, Industrial, Agropecuária e de Serviços de Aimorés</w:t>
      </w:r>
      <w:r w:rsidRPr="0088489A">
        <w:rPr>
          <w:rFonts w:ascii="Arial" w:hAnsi="Arial" w:cs="Arial"/>
          <w:color w:val="545454"/>
          <w:shd w:val="clear" w:color="auto" w:fill="FFFFFF"/>
        </w:rPr>
        <w:t xml:space="preserve"> </w:t>
      </w:r>
      <w:r w:rsidRPr="0088489A">
        <w:rPr>
          <w:rFonts w:ascii="Arial" w:hAnsi="Arial" w:cs="Arial"/>
          <w:shd w:val="clear" w:color="auto" w:fill="FFFFFF"/>
        </w:rPr>
        <w:t>(ACIASA)</w:t>
      </w:r>
      <w:r w:rsidRPr="0088489A">
        <w:rPr>
          <w:rFonts w:ascii="Arial" w:hAnsi="Arial" w:cs="Arial"/>
        </w:rPr>
        <w:t>;</w:t>
      </w:r>
    </w:p>
    <w:p w:rsidR="00AC1296" w:rsidRPr="0088489A" w:rsidRDefault="00AC1296" w:rsidP="00AC1296">
      <w:pPr>
        <w:spacing w:before="288" w:line="276" w:lineRule="auto"/>
        <w:ind w:firstLine="2232"/>
        <w:jc w:val="both"/>
        <w:rPr>
          <w:color w:val="auto"/>
          <w:w w:val="100"/>
          <w:sz w:val="22"/>
          <w:szCs w:val="22"/>
        </w:rPr>
      </w:pPr>
      <w:r w:rsidRPr="0088489A">
        <w:rPr>
          <w:b/>
          <w:bCs/>
          <w:color w:val="auto"/>
          <w:w w:val="100"/>
          <w:sz w:val="22"/>
          <w:szCs w:val="22"/>
        </w:rPr>
        <w:t xml:space="preserve">Parágrafo único - </w:t>
      </w:r>
      <w:r w:rsidRPr="0088489A">
        <w:rPr>
          <w:color w:val="auto"/>
          <w:w w:val="100"/>
          <w:sz w:val="22"/>
          <w:szCs w:val="22"/>
        </w:rPr>
        <w:t xml:space="preserve">O titular da Secretaria de Finanças do Município, ou seu substituto, será o Presidente do Conselho Fiscal, sendo o seu </w:t>
      </w:r>
      <w:proofErr w:type="gramStart"/>
      <w:r w:rsidRPr="0088489A">
        <w:rPr>
          <w:color w:val="auto"/>
          <w:w w:val="100"/>
          <w:sz w:val="22"/>
          <w:szCs w:val="22"/>
        </w:rPr>
        <w:t>vice eleito</w:t>
      </w:r>
      <w:proofErr w:type="gramEnd"/>
      <w:r w:rsidRPr="0088489A">
        <w:rPr>
          <w:color w:val="auto"/>
          <w:w w:val="100"/>
          <w:sz w:val="22"/>
          <w:szCs w:val="22"/>
        </w:rPr>
        <w:t xml:space="preserve"> pelos demais integrantes do Conselho.</w:t>
      </w:r>
    </w:p>
    <w:p w:rsidR="00AC1296" w:rsidRPr="0088489A" w:rsidRDefault="00AC1296" w:rsidP="00AC1296">
      <w:pPr>
        <w:spacing w:before="288" w:line="276" w:lineRule="auto"/>
        <w:ind w:left="2232"/>
        <w:rPr>
          <w:color w:val="auto"/>
          <w:w w:val="100"/>
          <w:sz w:val="22"/>
          <w:szCs w:val="22"/>
        </w:rPr>
      </w:pPr>
      <w:r w:rsidRPr="0088489A">
        <w:rPr>
          <w:b/>
          <w:bCs/>
          <w:color w:val="auto"/>
          <w:w w:val="100"/>
          <w:sz w:val="22"/>
          <w:szCs w:val="22"/>
        </w:rPr>
        <w:t xml:space="preserve">Art. 9º </w:t>
      </w:r>
      <w:r w:rsidRPr="0088489A">
        <w:rPr>
          <w:color w:val="auto"/>
          <w:w w:val="100"/>
          <w:sz w:val="22"/>
          <w:szCs w:val="22"/>
        </w:rPr>
        <w:t>O Conselho Fiscal do FUMCIP terá como atribuições:</w:t>
      </w:r>
    </w:p>
    <w:p w:rsidR="00AC1296" w:rsidRPr="0088489A" w:rsidRDefault="00AC1296" w:rsidP="00AC1296">
      <w:pPr>
        <w:pStyle w:val="PargrafodaLista"/>
        <w:widowControl w:val="0"/>
        <w:numPr>
          <w:ilvl w:val="0"/>
          <w:numId w:val="5"/>
        </w:numPr>
        <w:autoSpaceDE w:val="0"/>
        <w:autoSpaceDN w:val="0"/>
        <w:spacing w:before="288"/>
        <w:rPr>
          <w:rFonts w:ascii="Arial" w:hAnsi="Arial" w:cs="Arial"/>
        </w:rPr>
      </w:pPr>
      <w:r w:rsidRPr="0088489A">
        <w:rPr>
          <w:rFonts w:ascii="Arial" w:hAnsi="Arial" w:cs="Arial"/>
        </w:rPr>
        <w:t>Fiscalizar a aplicação dos recursos da CIP;</w:t>
      </w:r>
    </w:p>
    <w:p w:rsidR="00AC1296" w:rsidRPr="0088489A" w:rsidRDefault="00AC1296" w:rsidP="00AC1296">
      <w:pPr>
        <w:pStyle w:val="PargrafodaLista"/>
        <w:widowControl w:val="0"/>
        <w:numPr>
          <w:ilvl w:val="0"/>
          <w:numId w:val="5"/>
        </w:numPr>
        <w:autoSpaceDE w:val="0"/>
        <w:autoSpaceDN w:val="0"/>
        <w:spacing w:before="288"/>
        <w:rPr>
          <w:rFonts w:ascii="Arial" w:hAnsi="Arial" w:cs="Arial"/>
        </w:rPr>
      </w:pPr>
      <w:r w:rsidRPr="0088489A">
        <w:rPr>
          <w:rFonts w:ascii="Arial" w:hAnsi="Arial" w:cs="Arial"/>
        </w:rPr>
        <w:t xml:space="preserve">Fiscalizar a </w:t>
      </w:r>
      <w:proofErr w:type="gramStart"/>
      <w:r w:rsidRPr="0088489A">
        <w:rPr>
          <w:rFonts w:ascii="Arial" w:hAnsi="Arial" w:cs="Arial"/>
        </w:rPr>
        <w:t>implementação</w:t>
      </w:r>
      <w:proofErr w:type="gramEnd"/>
      <w:r w:rsidRPr="0088489A">
        <w:rPr>
          <w:rFonts w:ascii="Arial" w:hAnsi="Arial" w:cs="Arial"/>
        </w:rPr>
        <w:t xml:space="preserve"> dos serviços de melhoria da qualidade da iluminação pública no Município;</w:t>
      </w:r>
    </w:p>
    <w:p w:rsidR="00AC1296" w:rsidRPr="0088489A" w:rsidRDefault="00AC1296" w:rsidP="00AC1296">
      <w:pPr>
        <w:pStyle w:val="PargrafodaLista"/>
        <w:widowControl w:val="0"/>
        <w:numPr>
          <w:ilvl w:val="0"/>
          <w:numId w:val="5"/>
        </w:numPr>
        <w:autoSpaceDE w:val="0"/>
        <w:autoSpaceDN w:val="0"/>
        <w:spacing w:before="288"/>
        <w:rPr>
          <w:rFonts w:ascii="Arial" w:hAnsi="Arial" w:cs="Arial"/>
        </w:rPr>
      </w:pPr>
      <w:r w:rsidRPr="0088489A">
        <w:rPr>
          <w:rFonts w:ascii="Arial" w:hAnsi="Arial" w:cs="Arial"/>
        </w:rPr>
        <w:t xml:space="preserve">Apresentar propostas para a elaboração de projetos que visem melhoria da qualidade da iluminação pública; </w:t>
      </w:r>
    </w:p>
    <w:p w:rsidR="00AC1296" w:rsidRPr="0088489A" w:rsidRDefault="00AC1296" w:rsidP="00AC1296">
      <w:pPr>
        <w:pStyle w:val="PargrafodaLista"/>
        <w:widowControl w:val="0"/>
        <w:numPr>
          <w:ilvl w:val="0"/>
          <w:numId w:val="5"/>
        </w:numPr>
        <w:autoSpaceDE w:val="0"/>
        <w:autoSpaceDN w:val="0"/>
        <w:spacing w:before="288"/>
        <w:rPr>
          <w:rFonts w:ascii="Arial" w:hAnsi="Arial" w:cs="Arial"/>
          <w:bCs/>
        </w:rPr>
      </w:pPr>
      <w:r w:rsidRPr="0088489A">
        <w:rPr>
          <w:rFonts w:ascii="Arial" w:hAnsi="Arial" w:cs="Arial"/>
        </w:rPr>
        <w:t>Sugerir alterações da legislação que trata da COSIP, para fins de adequação;</w:t>
      </w:r>
    </w:p>
    <w:p w:rsidR="00AC1296" w:rsidRPr="0088489A" w:rsidRDefault="00AC1296" w:rsidP="00AC1296">
      <w:pPr>
        <w:pStyle w:val="PargrafodaLista"/>
        <w:widowControl w:val="0"/>
        <w:numPr>
          <w:ilvl w:val="0"/>
          <w:numId w:val="5"/>
        </w:numPr>
        <w:autoSpaceDE w:val="0"/>
        <w:autoSpaceDN w:val="0"/>
        <w:spacing w:before="288"/>
        <w:jc w:val="both"/>
        <w:rPr>
          <w:rFonts w:ascii="Arial" w:hAnsi="Arial" w:cs="Arial"/>
          <w:bCs/>
        </w:rPr>
      </w:pPr>
      <w:r w:rsidRPr="0088489A">
        <w:rPr>
          <w:rFonts w:ascii="Arial" w:hAnsi="Arial" w:cs="Arial"/>
          <w:bCs/>
        </w:rPr>
        <w:t>Elaborar relatório e emitir parecer das ações do FUMCIP ao final de cada exercício financeiro.</w:t>
      </w:r>
    </w:p>
    <w:p w:rsidR="00AC1296" w:rsidRPr="0088489A" w:rsidRDefault="00AC1296" w:rsidP="00AC1296">
      <w:pPr>
        <w:spacing w:before="288" w:line="276" w:lineRule="auto"/>
        <w:ind w:firstLine="2232"/>
        <w:jc w:val="both"/>
        <w:rPr>
          <w:bCs/>
          <w:color w:val="auto"/>
          <w:w w:val="100"/>
          <w:sz w:val="22"/>
          <w:szCs w:val="22"/>
        </w:rPr>
      </w:pPr>
      <w:r w:rsidRPr="00CA5BC9">
        <w:rPr>
          <w:b/>
          <w:bCs/>
          <w:color w:val="auto"/>
          <w:w w:val="100"/>
          <w:sz w:val="22"/>
          <w:szCs w:val="22"/>
        </w:rPr>
        <w:t>Art. 10</w:t>
      </w:r>
      <w:r w:rsidRPr="0088489A">
        <w:rPr>
          <w:bCs/>
          <w:color w:val="auto"/>
          <w:w w:val="100"/>
          <w:sz w:val="22"/>
          <w:szCs w:val="22"/>
        </w:rPr>
        <w:t xml:space="preserve"> Os serviços decorrentes da aplicação da COSIP serão avaliados com base no relatório FUMCIP, previsto no inciso V do art.9</w:t>
      </w:r>
      <w:r w:rsidRPr="0088489A">
        <w:rPr>
          <w:bCs/>
          <w:color w:val="auto"/>
          <w:w w:val="100"/>
          <w:sz w:val="22"/>
          <w:szCs w:val="22"/>
          <w:vertAlign w:val="superscript"/>
        </w:rPr>
        <w:t>º</w:t>
      </w:r>
      <w:r w:rsidRPr="0088489A">
        <w:rPr>
          <w:bCs/>
          <w:color w:val="auto"/>
          <w:w w:val="100"/>
          <w:sz w:val="22"/>
          <w:szCs w:val="22"/>
        </w:rPr>
        <w:t xml:space="preserve">, quanto a sua eficácia e eficiência, após </w:t>
      </w:r>
      <w:proofErr w:type="gramStart"/>
      <w:r w:rsidRPr="0088489A">
        <w:rPr>
          <w:bCs/>
          <w:color w:val="auto"/>
          <w:w w:val="100"/>
          <w:sz w:val="22"/>
          <w:szCs w:val="22"/>
        </w:rPr>
        <w:t>1</w:t>
      </w:r>
      <w:proofErr w:type="gramEnd"/>
      <w:r w:rsidRPr="0088489A">
        <w:rPr>
          <w:bCs/>
          <w:color w:val="auto"/>
          <w:w w:val="100"/>
          <w:sz w:val="22"/>
          <w:szCs w:val="22"/>
        </w:rPr>
        <w:t xml:space="preserve"> ano da data da vigência desta lei.</w:t>
      </w:r>
    </w:p>
    <w:p w:rsidR="00AC1296" w:rsidRPr="0088489A" w:rsidRDefault="00AC1296" w:rsidP="00AC1296">
      <w:pPr>
        <w:spacing w:before="288" w:line="276" w:lineRule="auto"/>
        <w:ind w:firstLine="2232"/>
        <w:jc w:val="both"/>
        <w:rPr>
          <w:bCs/>
          <w:color w:val="auto"/>
          <w:w w:val="100"/>
          <w:sz w:val="22"/>
          <w:szCs w:val="22"/>
        </w:rPr>
      </w:pPr>
      <w:r w:rsidRPr="0088489A">
        <w:rPr>
          <w:bCs/>
          <w:color w:val="auto"/>
          <w:w w:val="100"/>
          <w:sz w:val="22"/>
          <w:szCs w:val="22"/>
        </w:rPr>
        <w:t>Parágrafo único – Caso constatada a ineficiência e ineficácia dos serviços prestados para melhoria da iluminação publica, decorrentes dos recursos da COSIP a presente da lei deverá ser revogada com base no relatório do FUMCIP.</w:t>
      </w:r>
    </w:p>
    <w:p w:rsidR="00AC1296" w:rsidRPr="0088489A" w:rsidRDefault="00AC1296" w:rsidP="00AC1296">
      <w:pPr>
        <w:spacing w:before="252" w:line="276" w:lineRule="auto"/>
        <w:ind w:firstLine="2232"/>
        <w:jc w:val="both"/>
        <w:rPr>
          <w:color w:val="auto"/>
          <w:w w:val="100"/>
          <w:sz w:val="22"/>
          <w:szCs w:val="22"/>
        </w:rPr>
      </w:pPr>
      <w:r w:rsidRPr="00CA5BC9">
        <w:rPr>
          <w:b/>
          <w:bCs/>
          <w:color w:val="auto"/>
          <w:w w:val="100"/>
          <w:sz w:val="22"/>
          <w:szCs w:val="22"/>
        </w:rPr>
        <w:t>Art. 11</w:t>
      </w:r>
      <w:r w:rsidRPr="0088489A">
        <w:rPr>
          <w:bCs/>
          <w:color w:val="auto"/>
          <w:w w:val="100"/>
          <w:sz w:val="22"/>
          <w:szCs w:val="22"/>
        </w:rPr>
        <w:t xml:space="preserve"> </w:t>
      </w:r>
      <w:r w:rsidRPr="0088489A">
        <w:rPr>
          <w:color w:val="auto"/>
          <w:w w:val="100"/>
          <w:sz w:val="22"/>
          <w:szCs w:val="22"/>
        </w:rPr>
        <w:t>O Poder Executivo Municipal regulamentará a aplicação desta lei, principalmente, no que se refere ao disposto no art. 5º, no prazo de 30 dias a contar de sua publicação.</w:t>
      </w:r>
    </w:p>
    <w:p w:rsidR="00AC1296" w:rsidRPr="00E97349" w:rsidRDefault="00AC1296" w:rsidP="00AC1296">
      <w:pPr>
        <w:spacing w:before="288" w:line="276" w:lineRule="auto"/>
        <w:ind w:firstLine="2232"/>
        <w:jc w:val="both"/>
        <w:rPr>
          <w:color w:val="auto"/>
          <w:w w:val="100"/>
          <w:sz w:val="24"/>
          <w:szCs w:val="24"/>
        </w:rPr>
      </w:pPr>
      <w:r>
        <w:rPr>
          <w:b/>
          <w:noProof/>
          <w:color w:val="auto"/>
          <w:w w:val="100"/>
          <w:sz w:val="22"/>
          <w:szCs w:val="22"/>
        </w:rPr>
        <mc:AlternateContent>
          <mc:Choice Requires="wps">
            <w:drawing>
              <wp:anchor distT="0" distB="0" distL="0" distR="0" simplePos="0" relativeHeight="251659264" behindDoc="0" locked="0" layoutInCell="0" allowOverlap="1">
                <wp:simplePos x="0" y="0"/>
                <wp:positionH relativeFrom="column">
                  <wp:posOffset>32385</wp:posOffset>
                </wp:positionH>
                <wp:positionV relativeFrom="paragraph">
                  <wp:posOffset>4802505</wp:posOffset>
                </wp:positionV>
                <wp:extent cx="5944235" cy="0"/>
                <wp:effectExtent l="6985" t="13335" r="11430" b="5715"/>
                <wp:wrapSquare wrapText="bothSides"/>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5pt,378.15pt" to="470.6pt,3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" o:allowincell="f" strokeweight=".5pt">
                <w10:wrap type="square"/>
              </v:line>
            </w:pict>
          </mc:Fallback>
        </mc:AlternateContent>
      </w:r>
      <w:r w:rsidRPr="00CA5BC9">
        <w:rPr>
          <w:b/>
          <w:bCs/>
          <w:color w:val="auto"/>
          <w:w w:val="100"/>
          <w:sz w:val="22"/>
          <w:szCs w:val="22"/>
        </w:rPr>
        <w:t>Art. 12</w:t>
      </w:r>
      <w:r w:rsidRPr="0088489A">
        <w:rPr>
          <w:bCs/>
          <w:color w:val="auto"/>
          <w:w w:val="100"/>
          <w:sz w:val="22"/>
          <w:szCs w:val="22"/>
        </w:rPr>
        <w:t xml:space="preserve"> </w:t>
      </w:r>
      <w:r w:rsidRPr="0088489A">
        <w:rPr>
          <w:color w:val="auto"/>
          <w:w w:val="100"/>
          <w:sz w:val="22"/>
          <w:szCs w:val="22"/>
        </w:rPr>
        <w:t>Esta Lei Complementar entra em vigor noventa (90) dias a partir da sua publicação.</w:t>
      </w:r>
    </w:p>
    <w:p w:rsidR="00AC1296" w:rsidRDefault="00AC1296" w:rsidP="00AC1296">
      <w:pPr>
        <w:rPr>
          <w:color w:val="auto"/>
          <w:w w:val="100"/>
          <w:sz w:val="24"/>
          <w:szCs w:val="24"/>
        </w:rPr>
      </w:pPr>
    </w:p>
    <w:p w:rsidR="00AC1296" w:rsidRDefault="00AC1296" w:rsidP="00AC1296">
      <w:pPr>
        <w:rPr>
          <w:color w:val="auto"/>
          <w:w w:val="100"/>
          <w:sz w:val="22"/>
          <w:szCs w:val="22"/>
        </w:rPr>
      </w:pPr>
      <w:r w:rsidRPr="00CA5BC9">
        <w:rPr>
          <w:color w:val="auto"/>
          <w:w w:val="100"/>
          <w:sz w:val="22"/>
          <w:szCs w:val="22"/>
        </w:rPr>
        <w:tab/>
      </w:r>
      <w:r w:rsidRPr="00CA5BC9">
        <w:rPr>
          <w:color w:val="auto"/>
          <w:w w:val="100"/>
          <w:sz w:val="22"/>
          <w:szCs w:val="22"/>
        </w:rPr>
        <w:tab/>
      </w:r>
      <w:r w:rsidRPr="00CA5BC9">
        <w:rPr>
          <w:color w:val="auto"/>
          <w:w w:val="100"/>
          <w:sz w:val="22"/>
          <w:szCs w:val="22"/>
        </w:rPr>
        <w:tab/>
      </w:r>
    </w:p>
    <w:p w:rsidR="00AC1296" w:rsidRPr="00CA5BC9" w:rsidRDefault="00AC1296" w:rsidP="00AC1296">
      <w:pPr>
        <w:ind w:left="1416" w:firstLine="708"/>
        <w:rPr>
          <w:color w:val="auto"/>
          <w:w w:val="100"/>
          <w:sz w:val="22"/>
          <w:szCs w:val="22"/>
        </w:rPr>
      </w:pPr>
      <w:r>
        <w:rPr>
          <w:color w:val="auto"/>
          <w:w w:val="100"/>
          <w:sz w:val="22"/>
          <w:szCs w:val="22"/>
        </w:rPr>
        <w:t>Sala das Sessões, 22</w:t>
      </w:r>
      <w:r w:rsidRPr="00CA5BC9">
        <w:rPr>
          <w:color w:val="auto"/>
          <w:w w:val="100"/>
          <w:sz w:val="22"/>
          <w:szCs w:val="22"/>
        </w:rPr>
        <w:t xml:space="preserve"> de </w:t>
      </w:r>
      <w:r>
        <w:rPr>
          <w:color w:val="auto"/>
          <w:w w:val="100"/>
          <w:sz w:val="22"/>
          <w:szCs w:val="22"/>
        </w:rPr>
        <w:t>março</w:t>
      </w:r>
      <w:proofErr w:type="gramStart"/>
      <w:r>
        <w:rPr>
          <w:color w:val="auto"/>
          <w:w w:val="100"/>
          <w:sz w:val="22"/>
          <w:szCs w:val="22"/>
        </w:rPr>
        <w:t xml:space="preserve"> </w:t>
      </w:r>
      <w:r w:rsidRPr="00CA5BC9">
        <w:rPr>
          <w:color w:val="auto"/>
          <w:w w:val="100"/>
          <w:sz w:val="22"/>
          <w:szCs w:val="22"/>
        </w:rPr>
        <w:t xml:space="preserve"> </w:t>
      </w:r>
      <w:proofErr w:type="gramEnd"/>
      <w:r w:rsidRPr="00CA5BC9">
        <w:rPr>
          <w:color w:val="auto"/>
          <w:w w:val="100"/>
          <w:sz w:val="22"/>
          <w:szCs w:val="22"/>
        </w:rPr>
        <w:t>de 2016</w:t>
      </w:r>
      <w:r>
        <w:rPr>
          <w:color w:val="auto"/>
          <w:w w:val="100"/>
          <w:sz w:val="22"/>
          <w:szCs w:val="22"/>
        </w:rPr>
        <w:t>.</w:t>
      </w:r>
    </w:p>
    <w:p w:rsidR="00AC1296" w:rsidRDefault="00AC1296" w:rsidP="00AC1296">
      <w:pPr>
        <w:rPr>
          <w:color w:val="auto"/>
          <w:w w:val="100"/>
          <w:sz w:val="24"/>
          <w:szCs w:val="24"/>
        </w:rPr>
      </w:pPr>
    </w:p>
    <w:p w:rsidR="0053608E" w:rsidRDefault="001E41C1"/>
    <w:p w:rsidR="00AC1296" w:rsidRDefault="00AC1296"/>
    <w:p w:rsidR="00AC1296" w:rsidRDefault="009D016F">
      <w:pPr>
        <w:rPr>
          <w:b/>
          <w:sz w:val="22"/>
          <w:szCs w:val="22"/>
        </w:rPr>
      </w:pPr>
      <w:r w:rsidRPr="009D016F">
        <w:rPr>
          <w:b/>
          <w:sz w:val="22"/>
          <w:szCs w:val="22"/>
        </w:rPr>
        <w:t>Sebastião Ferreira de Souza</w:t>
      </w:r>
      <w:r>
        <w:rPr>
          <w:b/>
          <w:sz w:val="22"/>
          <w:szCs w:val="22"/>
        </w:rPr>
        <w:t xml:space="preserve">                                         Sandra Lúcia Costa </w:t>
      </w:r>
      <w:proofErr w:type="spellStart"/>
      <w:r>
        <w:rPr>
          <w:b/>
          <w:sz w:val="22"/>
          <w:szCs w:val="22"/>
        </w:rPr>
        <w:t>Jourinch</w:t>
      </w:r>
      <w:proofErr w:type="spellEnd"/>
    </w:p>
    <w:p w:rsidR="009D016F" w:rsidRPr="009D016F" w:rsidRDefault="009D016F">
      <w:pPr>
        <w:rPr>
          <w:b/>
          <w:sz w:val="22"/>
          <w:szCs w:val="22"/>
        </w:rPr>
      </w:pPr>
      <w:r>
        <w:rPr>
          <w:b/>
          <w:sz w:val="22"/>
          <w:szCs w:val="22"/>
        </w:rPr>
        <w:t xml:space="preserve">               Presidente                                                                       </w:t>
      </w:r>
      <w:bookmarkStart w:id="0" w:name="_GoBack"/>
      <w:bookmarkEnd w:id="0"/>
      <w:r>
        <w:rPr>
          <w:b/>
          <w:sz w:val="22"/>
          <w:szCs w:val="22"/>
        </w:rPr>
        <w:t xml:space="preserve"> Secretária</w:t>
      </w:r>
    </w:p>
    <w:sectPr w:rsidR="009D016F" w:rsidRPr="009D016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C1" w:rsidRDefault="001E41C1" w:rsidP="00AC1296">
      <w:r>
        <w:separator/>
      </w:r>
    </w:p>
  </w:endnote>
  <w:endnote w:type="continuationSeparator" w:id="0">
    <w:p w:rsidR="001E41C1" w:rsidRDefault="001E41C1" w:rsidP="00AC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C1" w:rsidRDefault="001E41C1" w:rsidP="00AC1296">
      <w:r>
        <w:separator/>
      </w:r>
    </w:p>
  </w:footnote>
  <w:footnote w:type="continuationSeparator" w:id="0">
    <w:p w:rsidR="001E41C1" w:rsidRDefault="001E41C1" w:rsidP="00AC1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0631"/>
    <w:multiLevelType w:val="singleLevel"/>
    <w:tmpl w:val="14200E34"/>
    <w:lvl w:ilvl="0">
      <w:start w:val="1"/>
      <w:numFmt w:val="lowerLetter"/>
      <w:lvlText w:val="%1)"/>
      <w:lvlJc w:val="left"/>
      <w:pPr>
        <w:tabs>
          <w:tab w:val="num" w:pos="2592"/>
        </w:tabs>
        <w:ind w:left="2232"/>
      </w:pPr>
      <w:rPr>
        <w:color w:val="000000"/>
      </w:rPr>
    </w:lvl>
  </w:abstractNum>
  <w:abstractNum w:abstractNumId="1">
    <w:nsid w:val="15AC0B96"/>
    <w:multiLevelType w:val="hybridMultilevel"/>
    <w:tmpl w:val="313AD4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3360B87"/>
    <w:multiLevelType w:val="hybridMultilevel"/>
    <w:tmpl w:val="E0522A2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1760FFF"/>
    <w:multiLevelType w:val="hybridMultilevel"/>
    <w:tmpl w:val="576897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F816A6B"/>
    <w:multiLevelType w:val="hybridMultilevel"/>
    <w:tmpl w:val="BAB09B6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96"/>
    <w:rsid w:val="001E41C1"/>
    <w:rsid w:val="005D2881"/>
    <w:rsid w:val="009A0E0B"/>
    <w:rsid w:val="009D016F"/>
    <w:rsid w:val="00AC12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96"/>
    <w:pPr>
      <w:spacing w:after="0" w:line="240" w:lineRule="auto"/>
    </w:pPr>
    <w:rPr>
      <w:rFonts w:ascii="Arial" w:eastAsia="Times New Roman" w:hAnsi="Arial" w:cs="Arial"/>
      <w:color w:val="525252"/>
      <w:w w:val="97"/>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C1296"/>
    <w:pPr>
      <w:spacing w:before="100" w:beforeAutospacing="1" w:after="100" w:afterAutospacing="1"/>
    </w:pPr>
    <w:rPr>
      <w:rFonts w:ascii="Times New Roman" w:hAnsi="Times New Roman" w:cs="Times New Roman"/>
      <w:color w:val="auto"/>
      <w:w w:val="100"/>
      <w:sz w:val="24"/>
      <w:szCs w:val="24"/>
    </w:rPr>
  </w:style>
  <w:style w:type="paragraph" w:styleId="PargrafodaLista">
    <w:name w:val="List Paragraph"/>
    <w:basedOn w:val="Normal"/>
    <w:uiPriority w:val="34"/>
    <w:qFormat/>
    <w:rsid w:val="00AC1296"/>
    <w:pPr>
      <w:spacing w:after="200" w:line="276" w:lineRule="auto"/>
      <w:ind w:left="720"/>
      <w:contextualSpacing/>
    </w:pPr>
    <w:rPr>
      <w:rFonts w:asciiTheme="minorHAnsi" w:eastAsiaTheme="minorHAnsi" w:hAnsiTheme="minorHAnsi" w:cstheme="minorBidi"/>
      <w:color w:val="auto"/>
      <w:w w:val="100"/>
      <w:sz w:val="22"/>
      <w:szCs w:val="22"/>
      <w:lang w:eastAsia="en-US"/>
    </w:rPr>
  </w:style>
  <w:style w:type="paragraph" w:styleId="Cabealho">
    <w:name w:val="header"/>
    <w:basedOn w:val="Normal"/>
    <w:link w:val="CabealhoChar"/>
    <w:uiPriority w:val="99"/>
    <w:unhideWhenUsed/>
    <w:rsid w:val="00AC1296"/>
    <w:pPr>
      <w:tabs>
        <w:tab w:val="center" w:pos="4252"/>
        <w:tab w:val="right" w:pos="8504"/>
      </w:tabs>
    </w:pPr>
  </w:style>
  <w:style w:type="character" w:customStyle="1" w:styleId="CabealhoChar">
    <w:name w:val="Cabeçalho Char"/>
    <w:basedOn w:val="Fontepargpadro"/>
    <w:link w:val="Cabealho"/>
    <w:uiPriority w:val="99"/>
    <w:rsid w:val="00AC1296"/>
    <w:rPr>
      <w:rFonts w:ascii="Arial" w:eastAsia="Times New Roman" w:hAnsi="Arial" w:cs="Arial"/>
      <w:color w:val="525252"/>
      <w:w w:val="97"/>
      <w:sz w:val="20"/>
      <w:szCs w:val="20"/>
      <w:lang w:eastAsia="pt-BR"/>
    </w:rPr>
  </w:style>
  <w:style w:type="paragraph" w:styleId="Rodap">
    <w:name w:val="footer"/>
    <w:basedOn w:val="Normal"/>
    <w:link w:val="RodapChar"/>
    <w:uiPriority w:val="99"/>
    <w:unhideWhenUsed/>
    <w:rsid w:val="00AC1296"/>
    <w:pPr>
      <w:tabs>
        <w:tab w:val="center" w:pos="4252"/>
        <w:tab w:val="right" w:pos="8504"/>
      </w:tabs>
    </w:pPr>
  </w:style>
  <w:style w:type="character" w:customStyle="1" w:styleId="RodapChar">
    <w:name w:val="Rodapé Char"/>
    <w:basedOn w:val="Fontepargpadro"/>
    <w:link w:val="Rodap"/>
    <w:uiPriority w:val="99"/>
    <w:rsid w:val="00AC1296"/>
    <w:rPr>
      <w:rFonts w:ascii="Arial" w:eastAsia="Times New Roman" w:hAnsi="Arial" w:cs="Arial"/>
      <w:color w:val="525252"/>
      <w:w w:val="97"/>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96"/>
    <w:pPr>
      <w:spacing w:after="0" w:line="240" w:lineRule="auto"/>
    </w:pPr>
    <w:rPr>
      <w:rFonts w:ascii="Arial" w:eastAsia="Times New Roman" w:hAnsi="Arial" w:cs="Arial"/>
      <w:color w:val="525252"/>
      <w:w w:val="97"/>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C1296"/>
    <w:pPr>
      <w:spacing w:before="100" w:beforeAutospacing="1" w:after="100" w:afterAutospacing="1"/>
    </w:pPr>
    <w:rPr>
      <w:rFonts w:ascii="Times New Roman" w:hAnsi="Times New Roman" w:cs="Times New Roman"/>
      <w:color w:val="auto"/>
      <w:w w:val="100"/>
      <w:sz w:val="24"/>
      <w:szCs w:val="24"/>
    </w:rPr>
  </w:style>
  <w:style w:type="paragraph" w:styleId="PargrafodaLista">
    <w:name w:val="List Paragraph"/>
    <w:basedOn w:val="Normal"/>
    <w:uiPriority w:val="34"/>
    <w:qFormat/>
    <w:rsid w:val="00AC1296"/>
    <w:pPr>
      <w:spacing w:after="200" w:line="276" w:lineRule="auto"/>
      <w:ind w:left="720"/>
      <w:contextualSpacing/>
    </w:pPr>
    <w:rPr>
      <w:rFonts w:asciiTheme="minorHAnsi" w:eastAsiaTheme="minorHAnsi" w:hAnsiTheme="minorHAnsi" w:cstheme="minorBidi"/>
      <w:color w:val="auto"/>
      <w:w w:val="100"/>
      <w:sz w:val="22"/>
      <w:szCs w:val="22"/>
      <w:lang w:eastAsia="en-US"/>
    </w:rPr>
  </w:style>
  <w:style w:type="paragraph" w:styleId="Cabealho">
    <w:name w:val="header"/>
    <w:basedOn w:val="Normal"/>
    <w:link w:val="CabealhoChar"/>
    <w:uiPriority w:val="99"/>
    <w:unhideWhenUsed/>
    <w:rsid w:val="00AC1296"/>
    <w:pPr>
      <w:tabs>
        <w:tab w:val="center" w:pos="4252"/>
        <w:tab w:val="right" w:pos="8504"/>
      </w:tabs>
    </w:pPr>
  </w:style>
  <w:style w:type="character" w:customStyle="1" w:styleId="CabealhoChar">
    <w:name w:val="Cabeçalho Char"/>
    <w:basedOn w:val="Fontepargpadro"/>
    <w:link w:val="Cabealho"/>
    <w:uiPriority w:val="99"/>
    <w:rsid w:val="00AC1296"/>
    <w:rPr>
      <w:rFonts w:ascii="Arial" w:eastAsia="Times New Roman" w:hAnsi="Arial" w:cs="Arial"/>
      <w:color w:val="525252"/>
      <w:w w:val="97"/>
      <w:sz w:val="20"/>
      <w:szCs w:val="20"/>
      <w:lang w:eastAsia="pt-BR"/>
    </w:rPr>
  </w:style>
  <w:style w:type="paragraph" w:styleId="Rodap">
    <w:name w:val="footer"/>
    <w:basedOn w:val="Normal"/>
    <w:link w:val="RodapChar"/>
    <w:uiPriority w:val="99"/>
    <w:unhideWhenUsed/>
    <w:rsid w:val="00AC1296"/>
    <w:pPr>
      <w:tabs>
        <w:tab w:val="center" w:pos="4252"/>
        <w:tab w:val="right" w:pos="8504"/>
      </w:tabs>
    </w:pPr>
  </w:style>
  <w:style w:type="character" w:customStyle="1" w:styleId="RodapChar">
    <w:name w:val="Rodapé Char"/>
    <w:basedOn w:val="Fontepargpadro"/>
    <w:link w:val="Rodap"/>
    <w:uiPriority w:val="99"/>
    <w:rsid w:val="00AC1296"/>
    <w:rPr>
      <w:rFonts w:ascii="Arial" w:eastAsia="Times New Roman" w:hAnsi="Arial" w:cs="Arial"/>
      <w:color w:val="525252"/>
      <w:w w:val="97"/>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1237</Words>
  <Characters>6682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1</cp:revision>
  <dcterms:created xsi:type="dcterms:W3CDTF">2016-03-22T19:34:00Z</dcterms:created>
  <dcterms:modified xsi:type="dcterms:W3CDTF">2016-03-22T19:53:00Z</dcterms:modified>
</cp:coreProperties>
</file>