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C1" w:rsidRDefault="00277AC1" w:rsidP="00277AC1">
      <w:pPr>
        <w:pStyle w:val="NormalWeb"/>
        <w:tabs>
          <w:tab w:val="left" w:pos="3165"/>
        </w:tabs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</w:p>
    <w:p w:rsidR="00277AC1" w:rsidRDefault="00277AC1" w:rsidP="00277AC1">
      <w:pPr>
        <w:pStyle w:val="NormalWeb"/>
        <w:tabs>
          <w:tab w:val="left" w:pos="3165"/>
        </w:tabs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277AC1" w:rsidRPr="00277AC1" w:rsidRDefault="00277AC1" w:rsidP="00277AC1">
      <w:pPr>
        <w:pStyle w:val="NormalWeb"/>
        <w:tabs>
          <w:tab w:val="left" w:pos="3165"/>
        </w:tabs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277AC1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      </w:t>
      </w:r>
      <w:r w:rsidRPr="00277AC1">
        <w:rPr>
          <w:rFonts w:ascii="Arial" w:hAnsi="Arial" w:cs="Arial"/>
          <w:b/>
        </w:rPr>
        <w:t xml:space="preserve"> LEI Nº 2.</w:t>
      </w:r>
      <w:r w:rsidRPr="00277AC1">
        <w:rPr>
          <w:rFonts w:ascii="Arial" w:hAnsi="Arial" w:cs="Arial"/>
          <w:b/>
        </w:rPr>
        <w:t>5</w:t>
      </w:r>
      <w:r w:rsidRPr="00277AC1">
        <w:rPr>
          <w:rFonts w:ascii="Arial" w:hAnsi="Arial" w:cs="Arial"/>
          <w:b/>
        </w:rPr>
        <w:t>60</w:t>
      </w:r>
      <w:r w:rsidRPr="00277AC1">
        <w:rPr>
          <w:rFonts w:ascii="Arial" w:hAnsi="Arial" w:cs="Arial"/>
          <w:b/>
        </w:rPr>
        <w:t>/2016</w:t>
      </w:r>
    </w:p>
    <w:p w:rsidR="00277AC1" w:rsidRPr="00277AC1" w:rsidRDefault="00277AC1" w:rsidP="00277AC1">
      <w:pPr>
        <w:spacing w:before="252"/>
        <w:ind w:left="3168" w:right="288"/>
        <w:jc w:val="both"/>
        <w:rPr>
          <w:b/>
          <w:color w:val="auto"/>
          <w:w w:val="100"/>
          <w:sz w:val="24"/>
          <w:szCs w:val="24"/>
        </w:rPr>
      </w:pPr>
      <w:r w:rsidRPr="00277AC1">
        <w:rPr>
          <w:b/>
          <w:color w:val="auto"/>
          <w:w w:val="100"/>
          <w:sz w:val="24"/>
          <w:szCs w:val="24"/>
        </w:rPr>
        <w:t>“</w:t>
      </w:r>
      <w:r w:rsidRPr="00277AC1">
        <w:rPr>
          <w:b/>
          <w:color w:val="auto"/>
          <w:w w:val="100"/>
          <w:sz w:val="24"/>
          <w:szCs w:val="24"/>
        </w:rPr>
        <w:t>AUTORIZA O CHEFE DO PODER EXECUTIVO MUNICIPAL A PERMUTAR E, OU DOAR IMÓVEL, AO GOVERNO DO ESTADO DE MINAS GERAIS, CONFORME ESPECIFICA</w:t>
      </w:r>
      <w:r w:rsidRPr="00277AC1">
        <w:rPr>
          <w:b/>
          <w:i/>
          <w:color w:val="auto"/>
          <w:w w:val="100"/>
          <w:sz w:val="24"/>
          <w:szCs w:val="24"/>
        </w:rPr>
        <w:t xml:space="preserve">, </w:t>
      </w:r>
      <w:r w:rsidRPr="00277AC1">
        <w:rPr>
          <w:b/>
          <w:bCs/>
          <w:iCs/>
          <w:color w:val="auto"/>
          <w:w w:val="100"/>
          <w:sz w:val="24"/>
          <w:szCs w:val="24"/>
        </w:rPr>
        <w:t>E DÁ OUTRAS PROVIDÊNCIAS</w:t>
      </w:r>
      <w:r w:rsidRPr="00277AC1">
        <w:rPr>
          <w:b/>
          <w:bCs/>
          <w:iCs/>
          <w:color w:val="auto"/>
          <w:w w:val="100"/>
          <w:sz w:val="24"/>
          <w:szCs w:val="24"/>
        </w:rPr>
        <w:t>”</w:t>
      </w:r>
      <w:r w:rsidRPr="00277AC1">
        <w:rPr>
          <w:b/>
          <w:bCs/>
          <w:iCs/>
          <w:color w:val="auto"/>
          <w:w w:val="100"/>
          <w:sz w:val="24"/>
          <w:szCs w:val="24"/>
        </w:rPr>
        <w:t>.</w:t>
      </w:r>
    </w:p>
    <w:p w:rsidR="00277AC1" w:rsidRPr="00277AC1" w:rsidRDefault="00277AC1" w:rsidP="00277AC1">
      <w:pPr>
        <w:pStyle w:val="NormalWeb"/>
        <w:spacing w:before="0" w:beforeAutospacing="0" w:after="0" w:afterAutospacing="0" w:line="276" w:lineRule="auto"/>
        <w:ind w:left="4320"/>
        <w:jc w:val="both"/>
        <w:rPr>
          <w:rFonts w:ascii="Arial" w:hAnsi="Arial" w:cs="Arial"/>
          <w:bCs/>
          <w:i/>
          <w:iCs/>
        </w:rPr>
      </w:pPr>
    </w:p>
    <w:p w:rsidR="00277AC1" w:rsidRDefault="00277AC1" w:rsidP="00277AC1">
      <w:pPr>
        <w:pStyle w:val="NormalWeb"/>
        <w:spacing w:before="0" w:beforeAutospacing="0" w:after="0" w:afterAutospacing="0" w:line="276" w:lineRule="auto"/>
        <w:ind w:left="432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277AC1" w:rsidRPr="00277AC1" w:rsidRDefault="00277AC1" w:rsidP="00277AC1">
      <w:pPr>
        <w:spacing w:line="276" w:lineRule="auto"/>
        <w:ind w:firstLine="1843"/>
        <w:jc w:val="both"/>
        <w:rPr>
          <w:color w:val="auto"/>
          <w:w w:val="100"/>
          <w:sz w:val="22"/>
          <w:szCs w:val="22"/>
        </w:rPr>
      </w:pPr>
      <w:r w:rsidRPr="00277AC1">
        <w:rPr>
          <w:color w:val="auto"/>
          <w:w w:val="100"/>
          <w:sz w:val="22"/>
          <w:szCs w:val="22"/>
        </w:rPr>
        <w:t>A Câmara Municipal de Aimorés, Estado de Minas Gerais, aprova; e eu, Prefeito, sanciono a seguinte Lei:</w:t>
      </w:r>
    </w:p>
    <w:p w:rsidR="00277AC1" w:rsidRPr="00277AC1" w:rsidRDefault="00277AC1" w:rsidP="00277AC1">
      <w:pPr>
        <w:ind w:right="288" w:firstLine="720"/>
        <w:jc w:val="both"/>
        <w:rPr>
          <w:b/>
          <w:bCs/>
          <w:sz w:val="22"/>
          <w:szCs w:val="22"/>
        </w:rPr>
      </w:pPr>
    </w:p>
    <w:p w:rsidR="00277AC1" w:rsidRPr="00277AC1" w:rsidRDefault="00277AC1" w:rsidP="00277AC1">
      <w:pPr>
        <w:spacing w:line="276" w:lineRule="auto"/>
        <w:ind w:right="-3" w:firstLine="720"/>
        <w:jc w:val="both"/>
        <w:rPr>
          <w:color w:val="auto"/>
          <w:w w:val="100"/>
          <w:sz w:val="22"/>
          <w:szCs w:val="22"/>
        </w:rPr>
      </w:pPr>
      <w:r w:rsidRPr="00277AC1">
        <w:rPr>
          <w:b/>
          <w:bCs/>
          <w:color w:val="auto"/>
          <w:w w:val="100"/>
          <w:sz w:val="22"/>
          <w:szCs w:val="22"/>
        </w:rPr>
        <w:t xml:space="preserve">Art. 1º - </w:t>
      </w:r>
      <w:r w:rsidRPr="00277AC1">
        <w:rPr>
          <w:bCs/>
          <w:color w:val="auto"/>
          <w:w w:val="100"/>
          <w:sz w:val="22"/>
          <w:szCs w:val="22"/>
        </w:rPr>
        <w:t xml:space="preserve">Fica o </w:t>
      </w:r>
      <w:r w:rsidRPr="00277AC1">
        <w:rPr>
          <w:color w:val="auto"/>
          <w:w w:val="100"/>
          <w:sz w:val="22"/>
          <w:szCs w:val="22"/>
        </w:rPr>
        <w:t>Chefe do Poder Executivo Municipal autorizado a permutar e, ou doar ao Governo do Estado de Minas Gerais, o imóvel localizado no Distrito de São Sebastião da Vala, de propriedade do Município de Aimorés, Estado de Minas Gerais, com superfície total de 2.466,00m</w:t>
      </w:r>
      <w:r w:rsidRPr="00277AC1">
        <w:rPr>
          <w:color w:val="auto"/>
          <w:w w:val="100"/>
          <w:sz w:val="22"/>
          <w:szCs w:val="22"/>
          <w:vertAlign w:val="superscript"/>
        </w:rPr>
        <w:t>²</w:t>
      </w:r>
      <w:r w:rsidRPr="00277AC1">
        <w:rPr>
          <w:color w:val="auto"/>
          <w:w w:val="100"/>
          <w:sz w:val="22"/>
          <w:szCs w:val="22"/>
        </w:rPr>
        <w:t xml:space="preserve"> (dois mil, quatrocentos e sessenta e seis metros quadrados), conforme Matrícula nº 8.762, do Livro </w:t>
      </w:r>
      <w:proofErr w:type="gramStart"/>
      <w:r w:rsidRPr="00277AC1">
        <w:rPr>
          <w:color w:val="auto"/>
          <w:w w:val="100"/>
          <w:sz w:val="22"/>
          <w:szCs w:val="22"/>
        </w:rPr>
        <w:t>2</w:t>
      </w:r>
      <w:proofErr w:type="gramEnd"/>
      <w:r w:rsidRPr="00277AC1">
        <w:rPr>
          <w:color w:val="auto"/>
          <w:w w:val="100"/>
          <w:sz w:val="22"/>
          <w:szCs w:val="22"/>
        </w:rPr>
        <w:t>, do Cartório de Registro de Imóveis desta Comarca, de acordo com a planta e memorial descritivo, devidamente arquivados, com as dimensões e confrontações abaixo especificadas:</w:t>
      </w:r>
    </w:p>
    <w:p w:rsidR="00277AC1" w:rsidRPr="00277AC1" w:rsidRDefault="00277AC1" w:rsidP="00277AC1">
      <w:pPr>
        <w:spacing w:before="216" w:line="276" w:lineRule="auto"/>
        <w:ind w:left="1584" w:hanging="1584"/>
        <w:jc w:val="both"/>
        <w:rPr>
          <w:color w:val="auto"/>
          <w:w w:val="100"/>
          <w:sz w:val="22"/>
          <w:szCs w:val="22"/>
        </w:rPr>
      </w:pPr>
      <w:r w:rsidRPr="00277AC1">
        <w:rPr>
          <w:b/>
          <w:bCs/>
          <w:color w:val="auto"/>
          <w:w w:val="100"/>
          <w:sz w:val="22"/>
          <w:szCs w:val="22"/>
        </w:rPr>
        <w:t>Frente –</w:t>
      </w:r>
      <w:r w:rsidRPr="00277AC1">
        <w:rPr>
          <w:b/>
          <w:bCs/>
          <w:color w:val="auto"/>
          <w:w w:val="100"/>
          <w:sz w:val="22"/>
          <w:szCs w:val="22"/>
        </w:rPr>
        <w:tab/>
      </w:r>
      <w:r w:rsidRPr="00277AC1">
        <w:rPr>
          <w:b/>
          <w:bCs/>
          <w:color w:val="auto"/>
          <w:w w:val="100"/>
          <w:sz w:val="22"/>
          <w:szCs w:val="22"/>
        </w:rPr>
        <w:tab/>
      </w:r>
      <w:r w:rsidRPr="00277AC1">
        <w:rPr>
          <w:color w:val="auto"/>
          <w:w w:val="100"/>
          <w:sz w:val="22"/>
          <w:szCs w:val="22"/>
        </w:rPr>
        <w:t xml:space="preserve">com a Rua Vereador </w:t>
      </w:r>
      <w:proofErr w:type="spellStart"/>
      <w:r w:rsidRPr="00277AC1">
        <w:rPr>
          <w:color w:val="auto"/>
          <w:w w:val="100"/>
          <w:sz w:val="22"/>
          <w:szCs w:val="22"/>
        </w:rPr>
        <w:t>Anizio</w:t>
      </w:r>
      <w:proofErr w:type="spellEnd"/>
      <w:r w:rsidRPr="00277AC1">
        <w:rPr>
          <w:color w:val="auto"/>
          <w:w w:val="100"/>
          <w:sz w:val="22"/>
          <w:szCs w:val="22"/>
        </w:rPr>
        <w:t xml:space="preserve"> Martins da Silva – 55,24m</w:t>
      </w:r>
    </w:p>
    <w:p w:rsidR="00277AC1" w:rsidRPr="00277AC1" w:rsidRDefault="00277AC1" w:rsidP="00277AC1">
      <w:pPr>
        <w:tabs>
          <w:tab w:val="left" w:pos="1180"/>
        </w:tabs>
        <w:spacing w:line="276" w:lineRule="auto"/>
        <w:ind w:left="1584" w:hanging="1584"/>
        <w:jc w:val="both"/>
        <w:rPr>
          <w:color w:val="auto"/>
          <w:w w:val="100"/>
          <w:sz w:val="22"/>
          <w:szCs w:val="22"/>
        </w:rPr>
      </w:pPr>
      <w:r w:rsidRPr="00277AC1">
        <w:rPr>
          <w:b/>
          <w:bCs/>
          <w:color w:val="auto"/>
          <w:w w:val="100"/>
          <w:sz w:val="22"/>
          <w:szCs w:val="22"/>
        </w:rPr>
        <w:t xml:space="preserve">Lado direito – </w:t>
      </w:r>
      <w:r w:rsidRPr="00277AC1">
        <w:rPr>
          <w:b/>
          <w:bCs/>
          <w:color w:val="auto"/>
          <w:w w:val="100"/>
          <w:sz w:val="22"/>
          <w:szCs w:val="22"/>
        </w:rPr>
        <w:tab/>
      </w:r>
      <w:r>
        <w:rPr>
          <w:b/>
          <w:bCs/>
          <w:color w:val="auto"/>
          <w:w w:val="100"/>
          <w:sz w:val="22"/>
          <w:szCs w:val="22"/>
        </w:rPr>
        <w:t xml:space="preserve">         </w:t>
      </w:r>
      <w:r w:rsidRPr="00277AC1">
        <w:rPr>
          <w:color w:val="auto"/>
          <w:w w:val="100"/>
          <w:sz w:val="22"/>
          <w:szCs w:val="22"/>
        </w:rPr>
        <w:t>confrontando-se com Rua do Campo – 41,27m</w:t>
      </w:r>
    </w:p>
    <w:p w:rsidR="00277AC1" w:rsidRPr="00277AC1" w:rsidRDefault="00277AC1" w:rsidP="00277AC1">
      <w:pPr>
        <w:tabs>
          <w:tab w:val="left" w:pos="1180"/>
        </w:tabs>
        <w:spacing w:line="276" w:lineRule="auto"/>
        <w:ind w:left="2124" w:hanging="2124"/>
        <w:jc w:val="both"/>
        <w:rPr>
          <w:color w:val="auto"/>
          <w:w w:val="100"/>
          <w:sz w:val="22"/>
          <w:szCs w:val="22"/>
        </w:rPr>
      </w:pPr>
      <w:r w:rsidRPr="00277AC1">
        <w:rPr>
          <w:b/>
          <w:bCs/>
          <w:color w:val="auto"/>
          <w:w w:val="100"/>
          <w:sz w:val="22"/>
          <w:szCs w:val="22"/>
        </w:rPr>
        <w:t>Lado Esquerdo –</w:t>
      </w:r>
      <w:r w:rsidRPr="00277AC1">
        <w:rPr>
          <w:b/>
          <w:bCs/>
          <w:color w:val="auto"/>
          <w:w w:val="100"/>
          <w:sz w:val="22"/>
          <w:szCs w:val="22"/>
        </w:rPr>
        <w:tab/>
      </w:r>
      <w:r w:rsidRPr="00277AC1">
        <w:rPr>
          <w:color w:val="auto"/>
          <w:w w:val="100"/>
          <w:sz w:val="22"/>
          <w:szCs w:val="22"/>
        </w:rPr>
        <w:t>confrontando-se com Município de Aimorés – Posto de Saúde de São Sebastião da Vala – 43,08m</w:t>
      </w:r>
    </w:p>
    <w:p w:rsidR="00277AC1" w:rsidRPr="00277AC1" w:rsidRDefault="00277AC1" w:rsidP="00277AC1">
      <w:pPr>
        <w:spacing w:line="276" w:lineRule="auto"/>
        <w:ind w:left="1584" w:hanging="1584"/>
        <w:jc w:val="both"/>
        <w:rPr>
          <w:color w:val="auto"/>
          <w:w w:val="100"/>
          <w:sz w:val="22"/>
          <w:szCs w:val="22"/>
        </w:rPr>
      </w:pPr>
      <w:r w:rsidRPr="00277AC1">
        <w:rPr>
          <w:b/>
          <w:bCs/>
          <w:color w:val="auto"/>
          <w:w w:val="100"/>
          <w:sz w:val="22"/>
          <w:szCs w:val="22"/>
        </w:rPr>
        <w:t xml:space="preserve">Fundos – </w:t>
      </w:r>
      <w:r w:rsidRPr="00277AC1">
        <w:rPr>
          <w:b/>
          <w:bCs/>
          <w:color w:val="auto"/>
          <w:w w:val="100"/>
          <w:sz w:val="22"/>
          <w:szCs w:val="22"/>
        </w:rPr>
        <w:tab/>
      </w:r>
      <w:r w:rsidRPr="00277AC1">
        <w:rPr>
          <w:b/>
          <w:bCs/>
          <w:color w:val="auto"/>
          <w:w w:val="100"/>
          <w:sz w:val="22"/>
          <w:szCs w:val="22"/>
        </w:rPr>
        <w:tab/>
      </w:r>
      <w:r w:rsidRPr="00277AC1">
        <w:rPr>
          <w:color w:val="auto"/>
          <w:w w:val="100"/>
          <w:sz w:val="22"/>
          <w:szCs w:val="22"/>
        </w:rPr>
        <w:t>confrontando-se com Rua do Campo – 57,63m</w:t>
      </w:r>
    </w:p>
    <w:p w:rsidR="00277AC1" w:rsidRPr="00277AC1" w:rsidRDefault="00277AC1" w:rsidP="00277AC1">
      <w:pPr>
        <w:spacing w:before="252" w:line="276" w:lineRule="auto"/>
        <w:ind w:right="-3" w:firstLine="720"/>
        <w:jc w:val="both"/>
        <w:rPr>
          <w:color w:val="auto"/>
          <w:w w:val="100"/>
          <w:sz w:val="22"/>
          <w:szCs w:val="22"/>
        </w:rPr>
      </w:pPr>
      <w:r w:rsidRPr="00277AC1">
        <w:rPr>
          <w:b/>
          <w:bCs/>
          <w:color w:val="auto"/>
          <w:w w:val="100"/>
          <w:sz w:val="22"/>
          <w:szCs w:val="22"/>
        </w:rPr>
        <w:t xml:space="preserve">Art. 2º - </w:t>
      </w:r>
      <w:r w:rsidRPr="00277AC1">
        <w:rPr>
          <w:bCs/>
          <w:color w:val="auto"/>
          <w:w w:val="100"/>
          <w:sz w:val="22"/>
          <w:szCs w:val="22"/>
        </w:rPr>
        <w:t>Em caso de alienação a que se refere o art. 1º, na modalidade de doação, esta será feita</w:t>
      </w:r>
      <w:r w:rsidRPr="00277AC1">
        <w:rPr>
          <w:b/>
          <w:bCs/>
          <w:color w:val="auto"/>
          <w:w w:val="100"/>
          <w:sz w:val="22"/>
          <w:szCs w:val="22"/>
        </w:rPr>
        <w:t xml:space="preserve"> </w:t>
      </w:r>
      <w:r w:rsidRPr="00277AC1">
        <w:rPr>
          <w:color w:val="auto"/>
          <w:w w:val="100"/>
          <w:sz w:val="22"/>
          <w:szCs w:val="22"/>
        </w:rPr>
        <w:t>mediante a condição de que a área doada seja utilizada exclusivamente pelo Governo do Estado de Minas Gerais, para fins de construção, implantação e funcionamento de uma unidade escolar de ensino médio.</w:t>
      </w:r>
    </w:p>
    <w:p w:rsidR="00277AC1" w:rsidRPr="00277AC1" w:rsidRDefault="00277AC1" w:rsidP="00277AC1">
      <w:pPr>
        <w:spacing w:before="252" w:line="276" w:lineRule="auto"/>
        <w:ind w:right="-3" w:firstLine="720"/>
        <w:jc w:val="both"/>
        <w:rPr>
          <w:color w:val="auto"/>
          <w:w w:val="100"/>
          <w:sz w:val="22"/>
          <w:szCs w:val="22"/>
        </w:rPr>
      </w:pPr>
      <w:r w:rsidRPr="00277AC1">
        <w:rPr>
          <w:b/>
          <w:bCs/>
          <w:color w:val="auto"/>
          <w:w w:val="100"/>
          <w:sz w:val="22"/>
          <w:szCs w:val="22"/>
        </w:rPr>
        <w:t xml:space="preserve">Art. 3º </w:t>
      </w:r>
      <w:r w:rsidRPr="00277AC1">
        <w:rPr>
          <w:bCs/>
          <w:color w:val="auto"/>
          <w:w w:val="100"/>
          <w:sz w:val="22"/>
          <w:szCs w:val="22"/>
        </w:rPr>
        <w:t>- Em caso de alienação pela modalidade de doação, o</w:t>
      </w:r>
      <w:r w:rsidRPr="00277AC1">
        <w:rPr>
          <w:color w:val="auto"/>
          <w:w w:val="100"/>
          <w:sz w:val="22"/>
          <w:szCs w:val="22"/>
        </w:rPr>
        <w:t xml:space="preserve"> imóvel objeto </w:t>
      </w:r>
      <w:proofErr w:type="gramStart"/>
      <w:r w:rsidRPr="00277AC1">
        <w:rPr>
          <w:color w:val="auto"/>
          <w:w w:val="100"/>
          <w:sz w:val="22"/>
          <w:szCs w:val="22"/>
        </w:rPr>
        <w:t>da presente</w:t>
      </w:r>
      <w:proofErr w:type="gramEnd"/>
      <w:r w:rsidRPr="00277AC1">
        <w:rPr>
          <w:color w:val="auto"/>
          <w:w w:val="100"/>
          <w:sz w:val="22"/>
          <w:szCs w:val="22"/>
        </w:rPr>
        <w:t xml:space="preserve"> Lei, reverterá ao domínio do Município, por revogação pura e simples da doação, caso o Governo do Estado de Minas Gerais, venha a deixar de cumprir a finalidade descrita no artigo anterior, bem como venha a qualquer época atividades estranhas ao previsto no art. 2º da presente Lei.</w:t>
      </w:r>
    </w:p>
    <w:p w:rsidR="00277AC1" w:rsidRPr="00277AC1" w:rsidRDefault="00277AC1" w:rsidP="00277AC1">
      <w:pPr>
        <w:spacing w:before="288" w:line="276" w:lineRule="auto"/>
        <w:ind w:right="-3" w:firstLine="720"/>
        <w:jc w:val="both"/>
        <w:rPr>
          <w:color w:val="auto"/>
          <w:w w:val="100"/>
          <w:sz w:val="22"/>
          <w:szCs w:val="22"/>
        </w:rPr>
      </w:pPr>
      <w:r w:rsidRPr="00277AC1">
        <w:rPr>
          <w:b/>
          <w:bCs/>
          <w:color w:val="auto"/>
          <w:w w:val="100"/>
          <w:sz w:val="22"/>
          <w:szCs w:val="22"/>
        </w:rPr>
        <w:t xml:space="preserve">Parágrafo único. </w:t>
      </w:r>
      <w:r w:rsidRPr="00277AC1">
        <w:rPr>
          <w:color w:val="auto"/>
          <w:w w:val="100"/>
          <w:sz w:val="22"/>
          <w:szCs w:val="22"/>
        </w:rPr>
        <w:t xml:space="preserve">O imóvel objeto </w:t>
      </w:r>
      <w:proofErr w:type="gramStart"/>
      <w:r w:rsidRPr="00277AC1">
        <w:rPr>
          <w:color w:val="auto"/>
          <w:w w:val="100"/>
          <w:sz w:val="22"/>
          <w:szCs w:val="22"/>
        </w:rPr>
        <w:t>da presente</w:t>
      </w:r>
      <w:proofErr w:type="gramEnd"/>
      <w:r w:rsidRPr="00277AC1">
        <w:rPr>
          <w:color w:val="auto"/>
          <w:w w:val="100"/>
          <w:sz w:val="22"/>
          <w:szCs w:val="22"/>
        </w:rPr>
        <w:t xml:space="preserve"> Lei, também reverterá ao Município, por revogação pura e simples da doação, caso o Governo do Estado de Minas Gerais, não inicie as construções previstas no art. 2º, no prazo de 02 (dois) anos, bem como não faça a implantação e inicie o funcionamento no prazo de cinco anos, em ambos os casos, a contar da data de outorga da Escritura Pública, salvo justificativa legal, que deverá ser acatada por uma comissão especial nomeada pelo Prefeito, com um representante do executivo, um do legislativo e um da sociedade civil.</w:t>
      </w:r>
    </w:p>
    <w:p w:rsidR="00277AC1" w:rsidRPr="00277AC1" w:rsidRDefault="00277AC1" w:rsidP="00277AC1">
      <w:pPr>
        <w:ind w:left="1416" w:firstLine="708"/>
        <w:rPr>
          <w:b/>
          <w:bCs/>
          <w:color w:val="auto"/>
          <w:w w:val="100"/>
          <w:sz w:val="22"/>
          <w:szCs w:val="22"/>
        </w:rPr>
      </w:pPr>
    </w:p>
    <w:p w:rsidR="00277AC1" w:rsidRDefault="00277AC1" w:rsidP="00277AC1">
      <w:pPr>
        <w:rPr>
          <w:b/>
          <w:bCs/>
          <w:color w:val="auto"/>
          <w:w w:val="100"/>
          <w:sz w:val="22"/>
          <w:szCs w:val="22"/>
        </w:rPr>
      </w:pPr>
      <w:r>
        <w:rPr>
          <w:b/>
          <w:bCs/>
          <w:color w:val="auto"/>
          <w:w w:val="100"/>
          <w:sz w:val="22"/>
          <w:szCs w:val="22"/>
        </w:rPr>
        <w:lastRenderedPageBreak/>
        <w:t xml:space="preserve">            </w:t>
      </w:r>
    </w:p>
    <w:p w:rsidR="00277AC1" w:rsidRDefault="00277AC1" w:rsidP="00277AC1">
      <w:pPr>
        <w:rPr>
          <w:b/>
          <w:bCs/>
          <w:color w:val="auto"/>
          <w:w w:val="100"/>
          <w:sz w:val="22"/>
          <w:szCs w:val="22"/>
        </w:rPr>
      </w:pPr>
    </w:p>
    <w:p w:rsidR="00277AC1" w:rsidRDefault="00277AC1" w:rsidP="00277AC1">
      <w:pPr>
        <w:rPr>
          <w:b/>
          <w:bCs/>
          <w:color w:val="auto"/>
          <w:w w:val="100"/>
          <w:sz w:val="22"/>
          <w:szCs w:val="22"/>
        </w:rPr>
      </w:pPr>
    </w:p>
    <w:p w:rsidR="00277AC1" w:rsidRDefault="00277AC1" w:rsidP="00277AC1">
      <w:pPr>
        <w:rPr>
          <w:color w:val="auto"/>
          <w:w w:val="100"/>
          <w:sz w:val="22"/>
          <w:szCs w:val="22"/>
        </w:rPr>
      </w:pPr>
      <w:r>
        <w:rPr>
          <w:b/>
          <w:bCs/>
          <w:color w:val="auto"/>
          <w:w w:val="100"/>
          <w:sz w:val="22"/>
          <w:szCs w:val="22"/>
        </w:rPr>
        <w:t xml:space="preserve">                  </w:t>
      </w:r>
      <w:r w:rsidRPr="00277AC1">
        <w:rPr>
          <w:b/>
          <w:bCs/>
          <w:color w:val="auto"/>
          <w:w w:val="100"/>
          <w:sz w:val="22"/>
          <w:szCs w:val="22"/>
        </w:rPr>
        <w:t xml:space="preserve">Art. 4º - </w:t>
      </w:r>
      <w:r w:rsidRPr="00277AC1">
        <w:rPr>
          <w:color w:val="auto"/>
          <w:w w:val="100"/>
          <w:sz w:val="22"/>
          <w:szCs w:val="22"/>
        </w:rPr>
        <w:t>Esta Lei entra em vigor na data da publicação.</w:t>
      </w:r>
    </w:p>
    <w:p w:rsidR="00277AC1" w:rsidRDefault="00277AC1" w:rsidP="00277AC1">
      <w:pPr>
        <w:rPr>
          <w:color w:val="auto"/>
          <w:w w:val="100"/>
          <w:sz w:val="22"/>
          <w:szCs w:val="22"/>
        </w:rPr>
      </w:pPr>
    </w:p>
    <w:p w:rsidR="00277AC1" w:rsidRDefault="00277AC1" w:rsidP="00277AC1">
      <w:pPr>
        <w:rPr>
          <w:color w:val="auto"/>
          <w:w w:val="100"/>
          <w:sz w:val="22"/>
          <w:szCs w:val="22"/>
        </w:rPr>
      </w:pPr>
    </w:p>
    <w:p w:rsidR="00277AC1" w:rsidRDefault="00277AC1" w:rsidP="00277AC1">
      <w:pPr>
        <w:jc w:val="center"/>
        <w:rPr>
          <w:color w:val="auto"/>
          <w:w w:val="100"/>
          <w:sz w:val="22"/>
          <w:szCs w:val="22"/>
        </w:rPr>
      </w:pPr>
      <w:r>
        <w:rPr>
          <w:color w:val="auto"/>
          <w:w w:val="100"/>
          <w:sz w:val="22"/>
          <w:szCs w:val="22"/>
        </w:rPr>
        <w:t>Sala das Sessões, 18 de abril de 2016.</w:t>
      </w:r>
    </w:p>
    <w:p w:rsidR="00277AC1" w:rsidRDefault="00277AC1" w:rsidP="00277AC1">
      <w:pPr>
        <w:rPr>
          <w:color w:val="auto"/>
          <w:w w:val="100"/>
          <w:sz w:val="22"/>
          <w:szCs w:val="22"/>
        </w:rPr>
      </w:pPr>
    </w:p>
    <w:p w:rsidR="00277AC1" w:rsidRDefault="00277AC1" w:rsidP="00277AC1">
      <w:pPr>
        <w:rPr>
          <w:color w:val="auto"/>
          <w:w w:val="100"/>
          <w:sz w:val="22"/>
          <w:szCs w:val="22"/>
        </w:rPr>
      </w:pPr>
    </w:p>
    <w:p w:rsidR="00277AC1" w:rsidRDefault="00277AC1" w:rsidP="00277AC1">
      <w:pPr>
        <w:rPr>
          <w:color w:val="auto"/>
          <w:w w:val="100"/>
          <w:sz w:val="22"/>
          <w:szCs w:val="22"/>
        </w:rPr>
      </w:pPr>
    </w:p>
    <w:p w:rsidR="00277AC1" w:rsidRDefault="00277AC1" w:rsidP="00277AC1">
      <w:pPr>
        <w:jc w:val="center"/>
        <w:rPr>
          <w:b/>
          <w:color w:val="auto"/>
          <w:w w:val="100"/>
          <w:sz w:val="22"/>
          <w:szCs w:val="22"/>
        </w:rPr>
      </w:pPr>
      <w:r>
        <w:rPr>
          <w:b/>
          <w:color w:val="auto"/>
          <w:w w:val="100"/>
          <w:sz w:val="22"/>
          <w:szCs w:val="22"/>
        </w:rPr>
        <w:t>Sebastião Ferreira de S</w:t>
      </w:r>
      <w:r w:rsidRPr="00277AC1">
        <w:rPr>
          <w:b/>
          <w:color w:val="auto"/>
          <w:w w:val="100"/>
          <w:sz w:val="22"/>
          <w:szCs w:val="22"/>
        </w:rPr>
        <w:t>ouza</w:t>
      </w:r>
      <w:bookmarkStart w:id="0" w:name="_GoBack"/>
      <w:bookmarkEnd w:id="0"/>
    </w:p>
    <w:p w:rsidR="00277AC1" w:rsidRPr="00277AC1" w:rsidRDefault="00277AC1" w:rsidP="00277AC1">
      <w:pPr>
        <w:jc w:val="center"/>
        <w:rPr>
          <w:b/>
          <w:color w:val="auto"/>
          <w:w w:val="100"/>
          <w:sz w:val="22"/>
          <w:szCs w:val="22"/>
        </w:rPr>
      </w:pPr>
      <w:r>
        <w:rPr>
          <w:b/>
          <w:color w:val="auto"/>
          <w:w w:val="100"/>
          <w:sz w:val="22"/>
          <w:szCs w:val="22"/>
        </w:rPr>
        <w:t>Presidente</w:t>
      </w:r>
    </w:p>
    <w:p w:rsidR="0053608E" w:rsidRPr="00277AC1" w:rsidRDefault="00277AC1" w:rsidP="00277AC1">
      <w:pPr>
        <w:jc w:val="center"/>
        <w:rPr>
          <w:b/>
        </w:rPr>
      </w:pPr>
    </w:p>
    <w:sectPr w:rsidR="0053608E" w:rsidRPr="00277AC1" w:rsidSect="00277AC1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C1"/>
    <w:rsid w:val="00277AC1"/>
    <w:rsid w:val="005D2881"/>
    <w:rsid w:val="009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C1"/>
    <w:pPr>
      <w:spacing w:after="0" w:line="240" w:lineRule="auto"/>
    </w:pPr>
    <w:rPr>
      <w:rFonts w:ascii="Arial" w:eastAsia="Times New Roman" w:hAnsi="Arial" w:cs="Arial"/>
      <w:color w:val="525252"/>
      <w:w w:val="97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7AC1"/>
    <w:pPr>
      <w:spacing w:before="100" w:beforeAutospacing="1" w:after="100" w:afterAutospacing="1"/>
    </w:pPr>
    <w:rPr>
      <w:rFonts w:ascii="Times New Roman" w:hAnsi="Times New Roman" w:cs="Times New Roman"/>
      <w:color w:val="auto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C1"/>
    <w:pPr>
      <w:spacing w:after="0" w:line="240" w:lineRule="auto"/>
    </w:pPr>
    <w:rPr>
      <w:rFonts w:ascii="Arial" w:eastAsia="Times New Roman" w:hAnsi="Arial" w:cs="Arial"/>
      <w:color w:val="525252"/>
      <w:w w:val="97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7AC1"/>
    <w:pPr>
      <w:spacing w:before="100" w:beforeAutospacing="1" w:after="100" w:afterAutospacing="1"/>
    </w:pPr>
    <w:rPr>
      <w:rFonts w:ascii="Times New Roman" w:hAnsi="Times New Roman" w:cs="Times New Roman"/>
      <w:color w:val="auto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2016-04-27T12:20:00Z</dcterms:created>
  <dcterms:modified xsi:type="dcterms:W3CDTF">2016-04-27T12:28:00Z</dcterms:modified>
</cp:coreProperties>
</file>